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109</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cs="Arial"/>
          <w:b/>
          <w:sz w:val="24"/>
          <w:szCs w:val="24"/>
          <w:highlight w:val="none"/>
          <w:lang w:val="en-US" w:eastAsia="zh-CN"/>
        </w:rPr>
        <w:t>19561</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Chicago, US, November 13 – 17,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9.3.3</w:t>
      </w:r>
      <w:bookmarkStart w:id="6" w:name="_GoBack"/>
      <w:bookmarkEnd w:id="6"/>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UE RF requirements for the Extended L-band</w:t>
      </w:r>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7"/>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ascii="Times New Roman" w:hAnsi="Times New Roman" w:eastAsia="宋体" w:cs="Times New Roman"/>
          <w:sz w:val="20"/>
          <w:szCs w:val="20"/>
          <w:highlight w:val="none"/>
          <w:lang w:val="en-US" w:eastAsia="zh-CN"/>
        </w:rPr>
        <w:t>RP-230790</w:t>
      </w:r>
      <w:r>
        <w:rPr>
          <w:rFonts w:hint="eastAsia" w:cs="Times New Roman"/>
          <w:kern w:val="2"/>
          <w:sz w:val="21"/>
          <w:szCs w:val="22"/>
          <w:highlight w:val="none"/>
          <w:lang w:val="en-US" w:eastAsia="zh-CN" w:bidi="ar-SA"/>
        </w:rPr>
        <w:t>] on introduction of the Extended L-band was approved. Part of the objective is as follows:</w:t>
      </w:r>
    </w:p>
    <w:p>
      <w:pPr>
        <w:pStyle w:val="52"/>
        <w:numPr>
          <w:ilvl w:val="0"/>
          <w:numId w:val="3"/>
        </w:numPr>
        <w:rPr>
          <w:iCs/>
          <w:sz w:val="21"/>
          <w:szCs w:val="21"/>
        </w:rPr>
      </w:pPr>
      <w:r>
        <w:rPr>
          <w:sz w:val="21"/>
          <w:szCs w:val="21"/>
        </w:rPr>
        <w:t xml:space="preserve">Specify a new E-UTRA NTN FDD band, with initial scope for Region 1, with UE transmitting at 1668 – 1675 MHz and SAN transmitting at </w:t>
      </w:r>
      <w:bookmarkStart w:id="1" w:name="OLE_LINK1"/>
      <w:r>
        <w:rPr>
          <w:iCs/>
          <w:sz w:val="21"/>
          <w:szCs w:val="21"/>
        </w:rPr>
        <w:t>1518 – 1525 MHz</w:t>
      </w:r>
      <w:bookmarkEnd w:id="1"/>
    </w:p>
    <w:p>
      <w:pPr>
        <w:pStyle w:val="52"/>
        <w:numPr>
          <w:ilvl w:val="1"/>
          <w:numId w:val="3"/>
        </w:numPr>
        <w:rPr>
          <w:iCs/>
          <w:sz w:val="21"/>
          <w:szCs w:val="21"/>
        </w:rPr>
      </w:pPr>
      <w:r>
        <w:rPr>
          <w:iCs/>
          <w:sz w:val="21"/>
          <w:szCs w:val="21"/>
        </w:rPr>
        <w:t>NOTE: The introduction of this new NTN band through this WID has no impact on existing 3GPP terrestrial band specifications.</w:t>
      </w:r>
    </w:p>
    <w:p>
      <w:pPr>
        <w:pStyle w:val="52"/>
        <w:numPr>
          <w:ilvl w:val="0"/>
          <w:numId w:val="3"/>
        </w:numPr>
        <w:rPr>
          <w:iCs/>
          <w:sz w:val="21"/>
          <w:szCs w:val="21"/>
        </w:rPr>
      </w:pPr>
      <w:r>
        <w:rPr>
          <w:sz w:val="21"/>
          <w:szCs w:val="21"/>
        </w:rPr>
        <w:t>Support UE Categories NB1, NB2, M1;</w:t>
      </w:r>
    </w:p>
    <w:p>
      <w:pPr>
        <w:pStyle w:val="52"/>
        <w:numPr>
          <w:ilvl w:val="0"/>
          <w:numId w:val="3"/>
        </w:numPr>
        <w:rPr>
          <w:iCs/>
          <w:sz w:val="21"/>
          <w:szCs w:val="21"/>
        </w:rPr>
      </w:pPr>
      <w:r>
        <w:rPr>
          <w:sz w:val="21"/>
          <w:szCs w:val="21"/>
        </w:rPr>
        <w:t xml:space="preserve">Support UE Power class 3 (+23dBm) and Power Class 5 (+20dBm); </w:t>
      </w:r>
    </w:p>
    <w:p>
      <w:pPr>
        <w:pStyle w:val="52"/>
        <w:numPr>
          <w:ilvl w:val="0"/>
          <w:numId w:val="3"/>
        </w:numPr>
        <w:rPr>
          <w:iCs/>
          <w:sz w:val="21"/>
          <w:szCs w:val="21"/>
        </w:rPr>
      </w:pPr>
      <w:r>
        <w:rPr>
          <w:sz w:val="21"/>
          <w:szCs w:val="21"/>
        </w:rPr>
        <w:t>Introduce the corresponding SAN and UE RF core requirements;</w:t>
      </w:r>
    </w:p>
    <w:p>
      <w:pPr>
        <w:pStyle w:val="52"/>
        <w:numPr>
          <w:ilvl w:val="0"/>
          <w:numId w:val="3"/>
        </w:numPr>
        <w:rPr>
          <w:iCs/>
          <w:sz w:val="21"/>
          <w:szCs w:val="21"/>
        </w:rPr>
      </w:pPr>
      <w:r>
        <w:rPr>
          <w:sz w:val="21"/>
          <w:szCs w:val="21"/>
        </w:rPr>
        <w:t>Introduce the corresponding RRM requirements.</w:t>
      </w:r>
      <w:r>
        <w:rPr>
          <w:sz w:val="21"/>
          <w:szCs w:val="21"/>
        </w:rPr>
        <w:tab/>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In this contribution, we share some views on</w:t>
      </w:r>
      <w:r>
        <w:rPr>
          <w:rFonts w:hint="eastAsia"/>
          <w:lang w:val="en-US" w:eastAsia="zh-CN"/>
        </w:rPr>
        <w:t xml:space="preserve"> UE RF requirement for the Extended L-band</w:t>
      </w:r>
      <w:r>
        <w:rPr>
          <w:rFonts w:hint="eastAsia"/>
          <w:lang w:val="en-US"/>
        </w:rPr>
        <w:t xml:space="preserve">. </w:t>
      </w:r>
    </w:p>
    <w:p>
      <w:pPr>
        <w:pStyle w:val="57"/>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20"/>
      <w:bookmarkStart w:id="3" w:name="OLE_LINK10"/>
      <w:bookmarkStart w:id="4" w:name="OLE_LINK13"/>
      <w:bookmarkStart w:id="5" w:name="OLE_LINK14"/>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2.1 Default UE TX-RX frequency separation</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In RAN4 #108bis meeting, an agreement was achieved for TX-RX frequency separation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eastAsiaTheme="minorEastAsia"/>
                <w:b/>
                <w:highlight w:val="green"/>
                <w:lang w:eastAsia="zh-CN"/>
              </w:rPr>
            </w:pPr>
            <w:r>
              <w:rPr>
                <w:rFonts w:eastAsiaTheme="minorEastAsia"/>
                <w:b/>
                <w:highlight w:val="green"/>
                <w:lang w:eastAsia="zh-CN"/>
              </w:rPr>
              <w:t>Agreement:</w:t>
            </w:r>
          </w:p>
          <w:p>
            <w:pPr>
              <w:pStyle w:val="36"/>
              <w:numPr>
                <w:ilvl w:val="1"/>
                <w:numId w:val="4"/>
              </w:numPr>
              <w:overflowPunct/>
              <w:autoSpaceDE/>
              <w:autoSpaceDN/>
              <w:adjustRightInd/>
              <w:ind w:left="1440" w:firstLineChars="0"/>
              <w:textAlignment w:val="auto"/>
              <w:rPr>
                <w:highlight w:val="none"/>
              </w:rPr>
            </w:pPr>
            <w:r>
              <w:rPr>
                <w:highlight w:val="none"/>
              </w:rPr>
              <w:t>Agree the follow bullets as a starting point.</w:t>
            </w:r>
          </w:p>
          <w:p>
            <w:pPr>
              <w:pStyle w:val="36"/>
              <w:numPr>
                <w:ilvl w:val="1"/>
                <w:numId w:val="4"/>
              </w:numPr>
              <w:overflowPunct/>
              <w:autoSpaceDE/>
              <w:autoSpaceDN/>
              <w:adjustRightInd/>
              <w:ind w:left="360" w:leftChars="0" w:firstLine="900" w:firstLineChars="0"/>
              <w:textAlignment w:val="auto"/>
              <w:rPr>
                <w:highlight w:val="none"/>
              </w:rPr>
            </w:pPr>
            <w:r>
              <w:rPr>
                <w:highlight w:val="none"/>
              </w:rPr>
              <w:t>Agree on the following Default TX-RX separation:</w:t>
            </w:r>
          </w:p>
          <w:p>
            <w:pPr>
              <w:pStyle w:val="47"/>
              <w:numPr>
                <w:ilvl w:val="0"/>
                <w:numId w:val="4"/>
              </w:numPr>
              <w:overflowPunct/>
              <w:autoSpaceDE/>
              <w:autoSpaceDN/>
              <w:adjustRightInd/>
              <w:spacing w:before="0"/>
              <w:ind w:firstLine="400"/>
              <w:textAlignment w:val="auto"/>
              <w:rPr>
                <w:rFonts w:ascii="Times New Roman" w:hAnsi="Times New Roman"/>
                <w:highlight w:val="none"/>
              </w:rPr>
            </w:pPr>
            <w:r>
              <w:rPr>
                <w:rFonts w:ascii="Times New Roman" w:hAnsi="Times New Roman"/>
                <w:highlight w:val="none"/>
              </w:rPr>
              <w:t>Default UE TX-RX frequency separation</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37"/>
                    <w:spacing w:after="180"/>
                    <w:rPr>
                      <w:rFonts w:ascii="Times New Roman" w:hAnsi="Times New Roman"/>
                      <w:sz w:val="20"/>
                      <w:highlight w:val="none"/>
                    </w:rPr>
                  </w:pPr>
                  <w:r>
                    <w:rPr>
                      <w:rFonts w:ascii="Times New Roman" w:hAnsi="Times New Roman"/>
                      <w:sz w:val="20"/>
                      <w:highlight w:val="none"/>
                    </w:rPr>
                    <w:t>E-UTRA Operating Band</w:t>
                  </w:r>
                </w:p>
              </w:tc>
              <w:tc>
                <w:tcPr>
                  <w:tcW w:w="2693" w:type="dxa"/>
                </w:tcPr>
                <w:p>
                  <w:pPr>
                    <w:pStyle w:val="37"/>
                    <w:spacing w:after="180"/>
                    <w:rPr>
                      <w:rFonts w:ascii="Times New Roman" w:hAnsi="Times New Roman"/>
                      <w:sz w:val="20"/>
                      <w:highlight w:val="none"/>
                    </w:rPr>
                  </w:pPr>
                  <w:r>
                    <w:rPr>
                      <w:rFonts w:ascii="Times New Roman" w:hAnsi="Times New Roman"/>
                      <w:sz w:val="20"/>
                      <w:highlight w:val="none"/>
                    </w:rPr>
                    <w:t xml:space="preserve">TX – RX </w:t>
                  </w:r>
                  <w:r>
                    <w:rPr>
                      <w:rFonts w:ascii="Times New Roman" w:hAnsi="Times New Roman"/>
                      <w:sz w:val="20"/>
                      <w:highlight w:val="none"/>
                    </w:rPr>
                    <w:br w:type="textWrapping"/>
                  </w:r>
                  <w:r>
                    <w:rPr>
                      <w:rFonts w:ascii="Times New Roman" w:hAnsi="Times New Roman"/>
                      <w:sz w:val="20"/>
                      <w:highlight w:val="none"/>
                    </w:rPr>
                    <w:t>carrier centre frequency</w:t>
                  </w:r>
                  <w:r>
                    <w:rPr>
                      <w:rFonts w:ascii="Times New Roman" w:hAnsi="Times New Roman"/>
                      <w:sz w:val="20"/>
                      <w:highlight w:val="none"/>
                    </w:rPr>
                    <w:br w:type="textWrapping"/>
                  </w:r>
                  <w:r>
                    <w:rPr>
                      <w:rFonts w:ascii="Times New Roman" w:hAnsi="Times New Roman"/>
                      <w:sz w:val="20"/>
                      <w:highlight w:val="none"/>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38"/>
                    <w:spacing w:after="180"/>
                    <w:rPr>
                      <w:rFonts w:ascii="Times New Roman" w:hAnsi="Times New Roman"/>
                      <w:sz w:val="20"/>
                      <w:highlight w:val="none"/>
                    </w:rPr>
                  </w:pPr>
                  <w:r>
                    <w:rPr>
                      <w:rFonts w:ascii="Times New Roman" w:hAnsi="Times New Roman"/>
                      <w:sz w:val="20"/>
                      <w:highlight w:val="none"/>
                    </w:rPr>
                    <w:t>253</w:t>
                  </w:r>
                </w:p>
              </w:tc>
              <w:tc>
                <w:tcPr>
                  <w:tcW w:w="2693" w:type="dxa"/>
                </w:tcPr>
                <w:p>
                  <w:pPr>
                    <w:pStyle w:val="38"/>
                    <w:spacing w:after="180"/>
                    <w:rPr>
                      <w:rFonts w:ascii="Times New Roman" w:hAnsi="Times New Roman"/>
                      <w:sz w:val="20"/>
                      <w:highlight w:val="none"/>
                    </w:rPr>
                  </w:pPr>
                  <w:r>
                    <w:rPr>
                      <w:rFonts w:ascii="Times New Roman" w:hAnsi="Times New Roman"/>
                      <w:sz w:val="20"/>
                      <w:highlight w:val="none"/>
                    </w:rPr>
                    <w:t>-150 MHz</w:t>
                  </w:r>
                </w:p>
              </w:tc>
            </w:tr>
          </w:tbl>
          <w:p>
            <w:pPr>
              <w:pStyle w:val="36"/>
              <w:numPr>
                <w:ilvl w:val="1"/>
                <w:numId w:val="4"/>
              </w:numPr>
              <w:overflowPunct/>
              <w:autoSpaceDE/>
              <w:autoSpaceDN/>
              <w:adjustRightInd/>
              <w:ind w:left="1440" w:leftChars="0" w:hanging="180" w:firstLineChars="0"/>
              <w:textAlignment w:val="auto"/>
              <w:rPr>
                <w:rFonts w:hint="eastAsia"/>
                <w:lang w:val="en-US" w:eastAsia="zh-CN"/>
              </w:rPr>
            </w:pPr>
            <w:r>
              <w:rPr>
                <w:highlight w:val="none"/>
              </w:rPr>
              <w:t>Based on operator input, there is a strong desire to consider flexible TX-RX separation for the band itself, and moreover for NTN FR1 bands, provided the frequency separation is sufficiently large.</w:t>
            </w:r>
            <w:r>
              <w:rPr>
                <w:rFonts w:hint="eastAsia"/>
                <w:highlight w:val="none"/>
                <w:lang w:val="en-US" w:eastAsia="zh-CN"/>
              </w:rPr>
              <w:t xml:space="preserve"> </w:t>
            </w:r>
            <w:r>
              <w:rPr>
                <w:highlight w:val="none"/>
              </w:rPr>
              <w:t>For next meeting, companies to further check if this can be supported.</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lang w:val="en-US" w:eastAsia="zh-CN"/>
        </w:rPr>
        <w:t>Based on the agreement above, the default UE Tx-Rx frequency separation of -150 MHz has been introduced. According to the convention, the flexible Tx-Rx frequency separation which needs a value range not a fixed value can not be supported based on the agreement. If the operator want to support the flexible Tx-Rx frequency separation, the above agreement with a fixed value should be discard and a value range should be introduced to support the flexible Tx-Rx frequency separation. Even though the flexible Tx-Rx frequency separation only apply the deployment, the candidate Tx-Rx frequency separation also should be explicit.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lang w:val="en-US" w:eastAsia="zh-CN"/>
        </w:rPr>
        <w:t>Observation 1:</w:t>
      </w:r>
      <w:r>
        <w:rPr>
          <w:rFonts w:hint="eastAsia"/>
          <w:lang w:val="en-US" w:eastAsia="zh-CN"/>
        </w:rPr>
        <w:t xml:space="preserve"> Introduction of flexible Tx-Rx frequency separation violates the previous agreement with a fixed Tx-Rx frequency separation of -150 MHz.</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lang w:val="en-US" w:eastAsia="zh-CN"/>
        </w:rPr>
      </w:pPr>
      <w:r>
        <w:rPr>
          <w:rFonts w:hint="eastAsia"/>
          <w:b/>
          <w:bCs/>
          <w:i w:val="0"/>
          <w:iCs w:val="0"/>
          <w:lang w:val="en-US" w:eastAsia="zh-CN"/>
        </w:rPr>
        <w:t>Proposal 1:</w:t>
      </w:r>
      <w:r>
        <w:rPr>
          <w:rFonts w:hint="eastAsia"/>
          <w:b w:val="0"/>
          <w:bCs w:val="0"/>
          <w:i w:val="0"/>
          <w:iCs w:val="0"/>
          <w:lang w:val="en-US" w:eastAsia="zh-CN"/>
        </w:rPr>
        <w:t xml:space="preserve"> For the Extended L-band, the flexible TX–RX frequency separation should not be supported.</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2.2 </w:t>
      </w:r>
      <w:r>
        <w:rPr>
          <w:rFonts w:hint="default" w:ascii="Arial" w:hAnsi="Arial" w:cs="Arial"/>
          <w:sz w:val="28"/>
          <w:szCs w:val="28"/>
          <w:lang w:val="en-US" w:eastAsia="zh-CN"/>
        </w:rPr>
        <w:t xml:space="preserve">Reference sensitivity </w:t>
      </w:r>
      <w:r>
        <w:rPr>
          <w:rFonts w:hint="eastAsia" w:ascii="Arial" w:hAnsi="Arial" w:cs="Arial"/>
          <w:sz w:val="28"/>
          <w:szCs w:val="28"/>
          <w:lang w:val="en-US" w:eastAsia="zh-CN"/>
        </w:rPr>
        <w:t xml:space="preserve">power </w:t>
      </w:r>
      <w:r>
        <w:rPr>
          <w:rFonts w:hint="default" w:ascii="Arial" w:hAnsi="Arial" w:cs="Arial"/>
          <w:sz w:val="28"/>
          <w:szCs w:val="28"/>
          <w:lang w:val="en-US" w:eastAsia="zh-CN"/>
        </w:rPr>
        <w:t>level</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In RAN4#108bis meeting, two proposals were list as follows [2]: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numPr>
                <w:ilvl w:val="1"/>
                <w:numId w:val="5"/>
              </w:numPr>
              <w:spacing w:before="120" w:after="120"/>
              <w:ind w:firstLineChars="0"/>
              <w:rPr>
                <w:lang w:val="en-US" w:eastAsia="zh-CN"/>
              </w:rPr>
            </w:pPr>
            <w:r>
              <w:rPr>
                <w:rFonts w:eastAsia="宋体"/>
                <w:color w:val="0070C0"/>
                <w:szCs w:val="24"/>
                <w:lang w:eastAsia="zh-CN"/>
              </w:rPr>
              <w:t xml:space="preserve">Proposal 1: </w:t>
            </w:r>
            <w:r>
              <w:rPr>
                <w:rFonts w:hint="eastAsia"/>
                <w:lang w:val="en-US" w:eastAsia="zh-CN"/>
              </w:rPr>
              <w:t>For the extended L-band, the reference sensitivity level for eMTC NTN can be defined as Table 2.3-1 and Table 2.3-2 and the reference sensitivity level for NB-IoT can be defined as Table 2.3-3.</w:t>
            </w:r>
          </w:p>
          <w:p>
            <w:pPr>
              <w:pStyle w:val="47"/>
              <w:spacing w:before="180" w:after="60"/>
            </w:pPr>
            <w:r>
              <w:t xml:space="preserve">Table </w:t>
            </w:r>
            <w:r>
              <w:rPr>
                <w:rFonts w:hint="eastAsia"/>
                <w:lang w:val="en-US" w:eastAsia="zh-CN"/>
              </w:rPr>
              <w:t>2</w:t>
            </w:r>
            <w:r>
              <w:t>.</w:t>
            </w:r>
            <w:r>
              <w:rPr>
                <w:rFonts w:hint="eastAsia"/>
                <w:lang w:val="en-US" w:eastAsia="zh-CN"/>
              </w:rPr>
              <w:t>3</w:t>
            </w:r>
            <w:r>
              <w:t>-1: Reference sensitivity for FDD UE category M1 QPSK P</w:t>
            </w:r>
            <w:r>
              <w:rPr>
                <w:vertAlign w:val="subscript"/>
              </w:rPr>
              <w:t>REFSENS</w:t>
            </w:r>
          </w:p>
          <w:tbl>
            <w:tblPr>
              <w:tblStyle w:val="25"/>
              <w:tblW w:w="6124"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802"/>
              <w:gridCol w:w="2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245" w:type="dxa"/>
                  <w:shd w:val="clear" w:color="auto" w:fill="auto"/>
                  <w:vAlign w:val="center"/>
                </w:tcPr>
                <w:p>
                  <w:pPr>
                    <w:pStyle w:val="37"/>
                    <w:rPr>
                      <w:rFonts w:eastAsia="MS Mincho"/>
                    </w:rPr>
                  </w:pPr>
                  <w:r>
                    <w:t>NTN Band</w:t>
                  </w:r>
                </w:p>
              </w:tc>
              <w:tc>
                <w:tcPr>
                  <w:tcW w:w="2802" w:type="dxa"/>
                  <w:shd w:val="clear" w:color="auto" w:fill="auto"/>
                  <w:vAlign w:val="center"/>
                </w:tcPr>
                <w:p>
                  <w:pPr>
                    <w:pStyle w:val="37"/>
                    <w:rPr>
                      <w:rFonts w:eastAsia="MS Mincho"/>
                    </w:rPr>
                  </w:pPr>
                  <w:r>
                    <w:t>REFSENS (dBm)</w:t>
                  </w:r>
                </w:p>
              </w:tc>
              <w:tc>
                <w:tcPr>
                  <w:tcW w:w="2076" w:type="dxa"/>
                  <w:shd w:val="clear" w:color="auto" w:fill="auto"/>
                  <w:vAlign w:val="center"/>
                </w:tcPr>
                <w:p>
                  <w:pPr>
                    <w:pStyle w:val="37"/>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245" w:type="dxa"/>
                  <w:shd w:val="clear" w:color="auto" w:fill="auto"/>
                  <w:vAlign w:val="center"/>
                </w:tcPr>
                <w:p>
                  <w:pPr>
                    <w:pStyle w:val="38"/>
                    <w:rPr>
                      <w:lang w:val="en-US" w:eastAsia="zh-CN"/>
                    </w:rPr>
                  </w:pPr>
                  <w:r>
                    <w:rPr>
                      <w:rFonts w:hint="eastAsia"/>
                      <w:lang w:val="en-US" w:eastAsia="zh-CN"/>
                    </w:rPr>
                    <w:t>[</w:t>
                  </w:r>
                  <w:r>
                    <w:rPr>
                      <w:rFonts w:eastAsia="MS Mincho"/>
                    </w:rPr>
                    <w:t>25</w:t>
                  </w:r>
                  <w:r>
                    <w:rPr>
                      <w:rFonts w:hint="eastAsia"/>
                      <w:lang w:val="en-US" w:eastAsia="zh-CN"/>
                    </w:rPr>
                    <w:t>3]</w:t>
                  </w:r>
                </w:p>
              </w:tc>
              <w:tc>
                <w:tcPr>
                  <w:tcW w:w="2802" w:type="dxa"/>
                  <w:shd w:val="clear" w:color="auto" w:fill="auto"/>
                  <w:vAlign w:val="center"/>
                </w:tcPr>
                <w:p>
                  <w:pPr>
                    <w:pStyle w:val="38"/>
                    <w:rPr>
                      <w:rFonts w:eastAsia="MS Mincho"/>
                    </w:rPr>
                  </w:pPr>
                  <w:r>
                    <w:rPr>
                      <w:rFonts w:eastAsia="MS Mincho"/>
                    </w:rPr>
                    <w:t>-102.7</w:t>
                  </w:r>
                </w:p>
              </w:tc>
              <w:tc>
                <w:tcPr>
                  <w:tcW w:w="2076" w:type="dxa"/>
                  <w:shd w:val="clear" w:color="auto" w:fill="auto"/>
                  <w:vAlign w:val="center"/>
                </w:tcPr>
                <w:p>
                  <w:pPr>
                    <w:pStyle w:val="38"/>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6124" w:type="dxa"/>
                  <w:gridSpan w:val="3"/>
                  <w:shd w:val="clear" w:color="auto" w:fill="auto"/>
                  <w:vAlign w:val="center"/>
                </w:tcPr>
                <w:p>
                  <w:pPr>
                    <w:pStyle w:val="50"/>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w:t>
                  </w:r>
                  <w:r>
                    <w:rPr>
                      <w:rFonts w:hint="eastAsia"/>
                      <w:lang w:val="en-US" w:eastAsia="zh-CN"/>
                    </w:rPr>
                    <w:t>1</w:t>
                  </w:r>
                  <w:r>
                    <w:t>.</w:t>
                  </w:r>
                </w:p>
              </w:tc>
            </w:tr>
          </w:tbl>
          <w:p>
            <w:pPr>
              <w:pStyle w:val="47"/>
              <w:spacing w:before="180" w:after="60"/>
            </w:pPr>
            <w:r>
              <w:t xml:space="preserve">Table </w:t>
            </w:r>
            <w:r>
              <w:rPr>
                <w:rFonts w:hint="eastAsia"/>
                <w:lang w:val="en-US" w:eastAsia="zh-CN"/>
              </w:rPr>
              <w:t>2.3-2</w:t>
            </w:r>
            <w:r>
              <w:t xml:space="preserve">: Reference sensitivity for </w:t>
            </w:r>
            <w:r>
              <w:rPr>
                <w:rFonts w:hint="eastAsia"/>
              </w:rPr>
              <w:t xml:space="preserve">HD-FDD </w:t>
            </w:r>
            <w:r>
              <w:t>UE category M1 QPSK PREFSENS</w:t>
            </w:r>
          </w:p>
          <w:tbl>
            <w:tblPr>
              <w:tblStyle w:val="25"/>
              <w:tblW w:w="6170"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2823"/>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254" w:type="dxa"/>
                  <w:shd w:val="clear" w:color="auto" w:fill="auto"/>
                  <w:vAlign w:val="center"/>
                </w:tcPr>
                <w:p>
                  <w:pPr>
                    <w:pStyle w:val="37"/>
                    <w:rPr>
                      <w:rFonts w:eastAsia="MS Mincho"/>
                    </w:rPr>
                  </w:pPr>
                  <w:r>
                    <w:t>NTN Band</w:t>
                  </w:r>
                </w:p>
              </w:tc>
              <w:tc>
                <w:tcPr>
                  <w:tcW w:w="2823" w:type="dxa"/>
                  <w:shd w:val="clear" w:color="auto" w:fill="auto"/>
                  <w:vAlign w:val="center"/>
                </w:tcPr>
                <w:p>
                  <w:pPr>
                    <w:pStyle w:val="37"/>
                    <w:rPr>
                      <w:rFonts w:eastAsia="MS Mincho"/>
                    </w:rPr>
                  </w:pPr>
                  <w:r>
                    <w:t>REFSENS (dBm)</w:t>
                  </w:r>
                </w:p>
              </w:tc>
              <w:tc>
                <w:tcPr>
                  <w:tcW w:w="2091" w:type="dxa"/>
                  <w:shd w:val="clear" w:color="auto" w:fill="auto"/>
                  <w:vAlign w:val="center"/>
                </w:tcPr>
                <w:p>
                  <w:pPr>
                    <w:pStyle w:val="37"/>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54" w:type="dxa"/>
                  <w:shd w:val="clear" w:color="auto" w:fill="auto"/>
                  <w:vAlign w:val="center"/>
                </w:tcPr>
                <w:p>
                  <w:pPr>
                    <w:pStyle w:val="38"/>
                    <w:rPr>
                      <w:lang w:val="en-US" w:eastAsia="zh-CN"/>
                    </w:rPr>
                  </w:pPr>
                  <w:r>
                    <w:rPr>
                      <w:rFonts w:hint="eastAsia"/>
                      <w:lang w:val="en-US" w:eastAsia="zh-CN"/>
                    </w:rPr>
                    <w:t>[</w:t>
                  </w:r>
                  <w:r>
                    <w:rPr>
                      <w:rFonts w:eastAsia="MS Mincho"/>
                    </w:rPr>
                    <w:t>25</w:t>
                  </w:r>
                  <w:r>
                    <w:rPr>
                      <w:rFonts w:hint="eastAsia"/>
                      <w:lang w:val="en-US" w:eastAsia="zh-CN"/>
                    </w:rPr>
                    <w:t>3]</w:t>
                  </w:r>
                </w:p>
              </w:tc>
              <w:tc>
                <w:tcPr>
                  <w:tcW w:w="2823" w:type="dxa"/>
                  <w:shd w:val="clear" w:color="auto" w:fill="auto"/>
                  <w:vAlign w:val="center"/>
                </w:tcPr>
                <w:p>
                  <w:pPr>
                    <w:pStyle w:val="38"/>
                    <w:rPr>
                      <w:rFonts w:eastAsia="MS Mincho"/>
                    </w:rPr>
                  </w:pPr>
                  <w:r>
                    <w:rPr>
                      <w:rFonts w:eastAsia="MS Mincho"/>
                    </w:rPr>
                    <w:t>-103.5</w:t>
                  </w:r>
                </w:p>
              </w:tc>
              <w:tc>
                <w:tcPr>
                  <w:tcW w:w="2091" w:type="dxa"/>
                  <w:shd w:val="clear" w:color="auto" w:fill="auto"/>
                  <w:vAlign w:val="center"/>
                </w:tcPr>
                <w:p>
                  <w:pPr>
                    <w:pStyle w:val="38"/>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6170" w:type="dxa"/>
                  <w:gridSpan w:val="3"/>
                  <w:shd w:val="clear" w:color="auto" w:fill="auto"/>
                  <w:vAlign w:val="center"/>
                </w:tcPr>
                <w:p>
                  <w:pPr>
                    <w:pStyle w:val="50"/>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pStyle w:val="47"/>
              <w:spacing w:before="180" w:after="60"/>
            </w:pPr>
            <w:r>
              <w:t xml:space="preserve">Table </w:t>
            </w:r>
            <w:r>
              <w:rPr>
                <w:rFonts w:hint="eastAsia"/>
                <w:lang w:val="en-US" w:eastAsia="zh-CN"/>
              </w:rPr>
              <w:t>2.3-3</w:t>
            </w:r>
            <w:r>
              <w:t>: Reference sensitivity for UE category NB1 and NB2</w:t>
            </w:r>
          </w:p>
          <w:tbl>
            <w:tblPr>
              <w:tblStyle w:val="25"/>
              <w:tblW w:w="5201" w:type="dxa"/>
              <w:jc w:val="center"/>
              <w:tblLayout w:type="autofit"/>
              <w:tblCellMar>
                <w:top w:w="0" w:type="dxa"/>
                <w:left w:w="108" w:type="dxa"/>
                <w:bottom w:w="0" w:type="dxa"/>
                <w:right w:w="108" w:type="dxa"/>
              </w:tblCellMar>
            </w:tblPr>
            <w:tblGrid>
              <w:gridCol w:w="3621"/>
              <w:gridCol w:w="1580"/>
            </w:tblGrid>
            <w:tr>
              <w:tblPrEx>
                <w:tblCellMar>
                  <w:top w:w="0" w:type="dxa"/>
                  <w:left w:w="108" w:type="dxa"/>
                  <w:bottom w:w="0" w:type="dxa"/>
                  <w:right w:w="108" w:type="dxa"/>
                </w:tblCellMar>
              </w:tblPrEx>
              <w:trPr>
                <w:trHeight w:val="288" w:hRule="atLeast"/>
                <w:jc w:val="center"/>
              </w:trPr>
              <w:tc>
                <w:tcPr>
                  <w:tcW w:w="3621"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7"/>
                    <w:rPr>
                      <w:rFonts w:cs="Arial"/>
                      <w:lang w:val="en-US"/>
                    </w:rPr>
                  </w:pPr>
                  <w:r>
                    <w:rPr>
                      <w:rFonts w:cs="Arial"/>
                      <w:lang w:val="en-US" w:eastAsia="ja-JP"/>
                    </w:rPr>
                    <w:t>Operating band</w:t>
                  </w:r>
                </w:p>
              </w:tc>
              <w:tc>
                <w:tcPr>
                  <w:tcW w:w="1580" w:type="dxa"/>
                  <w:tcBorders>
                    <w:top w:val="single" w:color="auto" w:sz="4" w:space="0"/>
                    <w:left w:val="nil"/>
                    <w:bottom w:val="single" w:color="auto" w:sz="4" w:space="0"/>
                    <w:right w:val="single" w:color="auto" w:sz="4" w:space="0"/>
                  </w:tcBorders>
                  <w:shd w:val="clear" w:color="auto" w:fill="auto"/>
                  <w:noWrap/>
                  <w:vAlign w:val="center"/>
                </w:tcPr>
                <w:p>
                  <w:pPr>
                    <w:pStyle w:val="37"/>
                    <w:rPr>
                      <w:rFonts w:cs="Arial"/>
                      <w:lang w:val="en-US"/>
                    </w:rPr>
                  </w:pPr>
                  <w:r>
                    <w:rPr>
                      <w:rFonts w:cs="Arial"/>
                      <w:lang w:val="en-US" w:eastAsia="ja-JP"/>
                    </w:rPr>
                    <w:t>REFSENS [dBm]</w:t>
                  </w:r>
                </w:p>
              </w:tc>
            </w:tr>
            <w:tr>
              <w:tblPrEx>
                <w:tblCellMar>
                  <w:top w:w="0" w:type="dxa"/>
                  <w:left w:w="108" w:type="dxa"/>
                  <w:bottom w:w="0" w:type="dxa"/>
                  <w:right w:w="108" w:type="dxa"/>
                </w:tblCellMar>
              </w:tblPrEx>
              <w:trPr>
                <w:trHeight w:val="600" w:hRule="atLeast"/>
                <w:jc w:val="center"/>
              </w:trPr>
              <w:tc>
                <w:tcPr>
                  <w:tcW w:w="3621" w:type="dxa"/>
                  <w:tcBorders>
                    <w:top w:val="nil"/>
                    <w:left w:val="single" w:color="auto" w:sz="4" w:space="0"/>
                    <w:bottom w:val="single" w:color="auto" w:sz="4" w:space="0"/>
                    <w:right w:val="single" w:color="auto" w:sz="4" w:space="0"/>
                  </w:tcBorders>
                  <w:shd w:val="clear" w:color="auto" w:fill="auto"/>
                  <w:vAlign w:val="center"/>
                </w:tcPr>
                <w:p>
                  <w:pPr>
                    <w:pStyle w:val="38"/>
                    <w:rPr>
                      <w:rFonts w:cs="Arial"/>
                      <w:lang w:val="en-US" w:eastAsia="zh-CN"/>
                    </w:rPr>
                  </w:pPr>
                  <w:r>
                    <w:rPr>
                      <w:rFonts w:eastAsia="Courier New" w:cs="Arial"/>
                      <w:lang w:eastAsia="ja-JP"/>
                    </w:rPr>
                    <w:t>According to subclause 5.2B</w:t>
                  </w:r>
                  <w:r>
                    <w:rPr>
                      <w:rFonts w:hint="eastAsia" w:cs="Arial"/>
                      <w:lang w:val="en-US" w:eastAsia="zh-CN"/>
                    </w:rPr>
                    <w:t xml:space="preserve"> in TS 36.102</w:t>
                  </w:r>
                </w:p>
              </w:tc>
              <w:tc>
                <w:tcPr>
                  <w:tcW w:w="1580" w:type="dxa"/>
                  <w:tcBorders>
                    <w:top w:val="nil"/>
                    <w:left w:val="nil"/>
                    <w:bottom w:val="single" w:color="auto" w:sz="4" w:space="0"/>
                    <w:right w:val="single" w:color="auto" w:sz="4" w:space="0"/>
                  </w:tcBorders>
                  <w:shd w:val="clear" w:color="auto" w:fill="auto"/>
                  <w:noWrap/>
                  <w:vAlign w:val="center"/>
                </w:tcPr>
                <w:p>
                  <w:pPr>
                    <w:pStyle w:val="38"/>
                    <w:rPr>
                      <w:rFonts w:cs="Arial"/>
                      <w:lang w:val="en-US"/>
                    </w:rPr>
                  </w:pPr>
                  <w:r>
                    <w:rPr>
                      <w:rFonts w:cs="Arial"/>
                      <w:lang w:val="en-US" w:eastAsia="ja-JP"/>
                    </w:rPr>
                    <w:t>- 108.2</w:t>
                  </w:r>
                </w:p>
              </w:tc>
            </w:tr>
          </w:tbl>
          <w:p>
            <w:pPr>
              <w:pStyle w:val="36"/>
              <w:numPr>
                <w:ilvl w:val="1"/>
                <w:numId w:val="4"/>
              </w:numPr>
              <w:overflowPunct/>
              <w:autoSpaceDE/>
              <w:autoSpaceDN/>
              <w:adjustRightInd/>
              <w:spacing w:after="120"/>
              <w:ind w:left="1440" w:firstLineChars="0"/>
              <w:textAlignment w:val="auto"/>
              <w:rPr>
                <w:rFonts w:hint="default"/>
                <w:vertAlign w:val="baseline"/>
                <w:lang w:val="en-US" w:eastAsia="zh-CN"/>
              </w:rPr>
            </w:pPr>
            <w:r>
              <w:rPr>
                <w:rFonts w:eastAsia="宋体"/>
                <w:color w:val="0070C0"/>
                <w:szCs w:val="24"/>
                <w:lang w:eastAsia="zh-CN"/>
              </w:rPr>
              <w:t xml:space="preserve">Proposal 2: </w:t>
            </w:r>
            <w:r>
              <w:t>For Band 253, consider revisiting REFSENS, ACS and Max Input Level values compared to what is currently specified for other NTN bands in TS 36.102</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lang w:val="en-US" w:eastAsia="zh-CN"/>
        </w:rPr>
        <w:t xml:space="preserve">The above proposal 2 of last meeting mentioned the REFSENS, ACS and Maximum input level. Therefore, we will talk about REFSENS, ACS and Maximum input level in this section. </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For NR NTN, considering the distance between the SAN and UE, the coupling loss is lager than the TN network and the relative relaxation of 15dB was introduced for Maximum input level. In RAN4 #104 meeting, an agreement was achieved for Maximum input level of category NB1/NB2 and category M1 for IoT NTN bands 255 and 256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highlight w:val="green"/>
                <w:lang w:val="en-US" w:eastAsia="zh-CN"/>
              </w:rPr>
            </w:pPr>
            <w:r>
              <w:rPr>
                <w:rFonts w:hint="eastAsia"/>
                <w:highlight w:val="green"/>
                <w:lang w:val="en-US" w:eastAsia="zh-CN"/>
              </w:rPr>
              <w:t>Agreement: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eastAsia="宋体"/>
                <w:vertAlign w:val="baseline"/>
                <w:lang w:val="en-US" w:eastAsia="zh-CN"/>
              </w:rPr>
            </w:pPr>
            <w:r>
              <w:rPr>
                <w:rFonts w:hint="eastAsia"/>
                <w:highlight w:val="none"/>
                <w:lang w:val="en-US" w:eastAsia="zh-CN"/>
              </w:rPr>
              <w:t>For Maximum input level, s</w:t>
            </w:r>
            <w:r>
              <w:rPr>
                <w:highlight w:val="none"/>
                <w:lang w:eastAsia="zh-TW"/>
              </w:rPr>
              <w:t xml:space="preserve">ame relative relaxation (15dB) as for NR NTN for </w:t>
            </w:r>
            <w:r>
              <w:rPr>
                <w:b w:val="0"/>
                <w:bCs w:val="0"/>
                <w:highlight w:val="none"/>
                <w:lang w:eastAsia="zh-TW"/>
              </w:rPr>
              <w:t xml:space="preserve">all </w:t>
            </w:r>
            <w:r>
              <w:rPr>
                <w:highlight w:val="none"/>
                <w:lang w:eastAsia="zh-TW"/>
              </w:rPr>
              <w:t>categories</w:t>
            </w:r>
            <w:r>
              <w:rPr>
                <w:rFonts w:hint="eastAsia"/>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Therefore, the Maximum input level for category NB1 and NB2 changed from TN of -25dBm to IoT NTN of -40dBm as follows[3]: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hint="default"/>
                <w:vertAlign w:val="baseline"/>
                <w:lang w:val="en-US" w:eastAsia="zh-CN"/>
              </w:rPr>
            </w:pPr>
            <w:r>
              <w:t>Category NB1 and NB2 UE maximum input level requirement is -40 dBm. For this input level the throughput shall be ≥ 95% of the maximum throughput of the reference measurement channel as specified in Annex A.3.2 of TS 36.101 [7].</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For the ACS requirement, a similar description discrepancy of 15dB between TN band and IoT NTN band also comes from Maximum input level based on the agreement of RAN4 #105 meeting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after="120"/>
              <w:rPr>
                <w:rFonts w:hint="eastAsia" w:eastAsia="宋体"/>
                <w:vertAlign w:val="baseline"/>
                <w:lang w:val="en-US" w:eastAsia="zh-CN"/>
              </w:rPr>
            </w:pPr>
            <w:r>
              <w:rPr>
                <w:b/>
                <w:bCs/>
                <w:szCs w:val="24"/>
                <w:highlight w:val="green"/>
                <w:lang w:eastAsia="zh-CN"/>
              </w:rPr>
              <w:t xml:space="preserve">Agreement: </w:t>
            </w:r>
            <w:r>
              <w:rPr>
                <w:b w:val="0"/>
                <w:bCs w:val="0"/>
                <w:szCs w:val="24"/>
                <w:highlight w:val="none"/>
                <w:lang w:eastAsia="zh-CN"/>
              </w:rPr>
              <w:t>For ACS, r</w:t>
            </w:r>
            <w:r>
              <w:rPr>
                <w:highlight w:val="none"/>
              </w:rPr>
              <w:t>euse existing NB-IoT TN requirements for IoT NTN UE ACS and adapt the test parameters according to the -40dBm Maximum Input Level</w:t>
            </w:r>
            <w:r>
              <w:rPr>
                <w:rFonts w:hint="eastAsia"/>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The description related ACS in TS 36.102 [3]: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vertAlign w:val="baseline"/>
                <w:lang w:val="en-US" w:eastAsia="zh-CN"/>
              </w:rPr>
            </w:pPr>
            <w:r>
              <w:t xml:space="preserve">Category NB1 and NB2 UE shall fulfil the minimum requirement specified in Table 7.5B-1 for all values of an adjacent channel interferer up to </w:t>
            </w:r>
            <w:r>
              <w:rPr>
                <w:rFonts w:eastAsia="MS Mincho"/>
              </w:rPr>
              <w:t>-40</w:t>
            </w:r>
            <w:r>
              <w:t xml:space="preserve"> dBm. </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lang w:val="en-US" w:eastAsia="zh-CN"/>
        </w:rPr>
        <w:t>Maximum input level is the maximum received power for normal operation of the receiver, and REFSENS is the minimum received power for normal operation of the receiver. The Maximum input level has no matter with REFSENS and the derivation of REFSENS for category NB1 and NB2 needs to consider the channel bandwidth, noise figure, implementation margin, performance loss due to DC carrier leakage and SNR. The specific REFSENS is calculated as follows:</w:t>
      </w:r>
    </w:p>
    <w:p>
      <w:pPr>
        <w:spacing w:line="300" w:lineRule="auto"/>
        <w:ind w:left="0" w:leftChars="0" w:firstLine="0" w:firstLineChars="0"/>
        <w:jc w:val="center"/>
      </w:pPr>
      <w:r>
        <w:t>P</w:t>
      </w:r>
      <w:r>
        <w:rPr>
          <w:sz w:val="13"/>
          <w:szCs w:val="13"/>
        </w:rPr>
        <w:t>REFSENS</w:t>
      </w:r>
      <w:r>
        <w:t xml:space="preserve"> = -174+10*log</w:t>
      </w:r>
      <w:r>
        <w:rPr>
          <w:vertAlign w:val="subscript"/>
        </w:rPr>
        <w:t>10</w:t>
      </w:r>
      <w:r>
        <w:t xml:space="preserve">(BW) + NF + IM + </w:t>
      </w:r>
      <w:r>
        <w:rPr>
          <w:rFonts w:hint="eastAsia"/>
        </w:rPr>
        <w:t>1/f Noise +</w:t>
      </w:r>
      <w:r>
        <w:t>SNR</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Due to t</w:t>
      </w:r>
      <w:r>
        <w:rPr>
          <w:rFonts w:hint="default"/>
          <w:lang w:val="en-US" w:eastAsia="zh-CN"/>
        </w:rPr>
        <w:t xml:space="preserve">he extended L-band is adjacent to the </w:t>
      </w:r>
      <w:r>
        <w:rPr>
          <w:rFonts w:hint="eastAsia"/>
          <w:lang w:val="en-US" w:eastAsia="zh-CN"/>
        </w:rPr>
        <w:t>DL</w:t>
      </w:r>
      <w:r>
        <w:rPr>
          <w:rFonts w:hint="default"/>
          <w:lang w:val="en-US" w:eastAsia="zh-CN"/>
        </w:rPr>
        <w:t xml:space="preserve"> of </w:t>
      </w:r>
      <w:r>
        <w:rPr>
          <w:rFonts w:hint="eastAsia"/>
          <w:lang w:val="en-US" w:eastAsia="zh-CN"/>
        </w:rPr>
        <w:t xml:space="preserve">TN band 24 and </w:t>
      </w:r>
      <w:r>
        <w:rPr>
          <w:rFonts w:hint="default"/>
          <w:lang w:val="en-US" w:eastAsia="zh-CN"/>
        </w:rPr>
        <w:t xml:space="preserve">NTN band 255 </w:t>
      </w:r>
      <w:r>
        <w:rPr>
          <w:rFonts w:hint="eastAsia"/>
          <w:lang w:val="en-US" w:eastAsia="zh-CN"/>
        </w:rPr>
        <w:t>which both support eMTC category M1 and category NB1/NB2. The REFSENS of band 24 and band 255 can be reused to the extended L-band as shown in Table 2.2-1, Table 2.2-2 and Table 2.2-3.</w:t>
      </w:r>
    </w:p>
    <w:p>
      <w:pPr>
        <w:pStyle w:val="47"/>
        <w:keepNext/>
        <w:keepLines/>
        <w:pageBreakBefore w:val="0"/>
        <w:widowControl/>
        <w:kinsoku/>
        <w:wordWrap/>
        <w:overflowPunct w:val="0"/>
        <w:topLinePunct w:val="0"/>
        <w:autoSpaceDE w:val="0"/>
        <w:autoSpaceDN w:val="0"/>
        <w:bidi w:val="0"/>
        <w:adjustRightInd w:val="0"/>
        <w:snapToGrid/>
        <w:spacing w:before="180" w:after="60"/>
        <w:textAlignment w:val="baseline"/>
      </w:pPr>
      <w:r>
        <w:t xml:space="preserve">Table </w:t>
      </w:r>
      <w:r>
        <w:rPr>
          <w:rFonts w:hint="eastAsia"/>
          <w:lang w:val="en-US" w:eastAsia="zh-CN"/>
        </w:rPr>
        <w:t>2</w:t>
      </w:r>
      <w:r>
        <w:t>.</w:t>
      </w:r>
      <w:r>
        <w:rPr>
          <w:rFonts w:hint="eastAsia"/>
          <w:lang w:val="en-US" w:eastAsia="zh-CN"/>
        </w:rPr>
        <w:t>2</w:t>
      </w:r>
      <w:r>
        <w:t>-1: Reference sensitivity for FDD UE category M1 QPSK P</w:t>
      </w:r>
      <w:r>
        <w:rPr>
          <w:vertAlign w:val="subscript"/>
        </w:rPr>
        <w:t>REFSENS</w:t>
      </w:r>
    </w:p>
    <w:tbl>
      <w:tblPr>
        <w:tblStyle w:val="25"/>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37"/>
              <w:rPr>
                <w:rFonts w:eastAsia="MS Mincho"/>
              </w:rPr>
            </w:pPr>
            <w:r>
              <w:t>NTN Band</w:t>
            </w:r>
          </w:p>
        </w:tc>
        <w:tc>
          <w:tcPr>
            <w:tcW w:w="3827" w:type="dxa"/>
            <w:shd w:val="clear" w:color="auto" w:fill="auto"/>
            <w:vAlign w:val="center"/>
          </w:tcPr>
          <w:p>
            <w:pPr>
              <w:pStyle w:val="37"/>
              <w:rPr>
                <w:rFonts w:eastAsia="MS Mincho"/>
              </w:rPr>
            </w:pPr>
            <w:r>
              <w:t>REFSENS (dBm)</w:t>
            </w:r>
          </w:p>
        </w:tc>
        <w:tc>
          <w:tcPr>
            <w:tcW w:w="2835" w:type="dxa"/>
            <w:shd w:val="clear" w:color="auto" w:fill="auto"/>
            <w:vAlign w:val="center"/>
          </w:tcPr>
          <w:p>
            <w:pPr>
              <w:pStyle w:val="37"/>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38"/>
              <w:rPr>
                <w:rFonts w:hint="default" w:eastAsia="宋体"/>
                <w:lang w:val="en-US" w:eastAsia="zh-CN"/>
              </w:rPr>
            </w:pPr>
            <w:r>
              <w:rPr>
                <w:rFonts w:eastAsia="MS Mincho"/>
              </w:rPr>
              <w:t>25</w:t>
            </w:r>
            <w:r>
              <w:rPr>
                <w:rFonts w:hint="eastAsia" w:eastAsia="宋体"/>
                <w:lang w:val="en-US" w:eastAsia="zh-CN"/>
              </w:rPr>
              <w:t>3</w:t>
            </w:r>
          </w:p>
        </w:tc>
        <w:tc>
          <w:tcPr>
            <w:tcW w:w="3827" w:type="dxa"/>
            <w:shd w:val="clear" w:color="auto" w:fill="auto"/>
            <w:vAlign w:val="center"/>
          </w:tcPr>
          <w:p>
            <w:pPr>
              <w:pStyle w:val="38"/>
              <w:rPr>
                <w:rFonts w:eastAsia="MS Mincho"/>
              </w:rPr>
            </w:pPr>
            <w:r>
              <w:rPr>
                <w:rFonts w:eastAsia="MS Mincho"/>
              </w:rPr>
              <w:t>-102.7</w:t>
            </w:r>
          </w:p>
        </w:tc>
        <w:tc>
          <w:tcPr>
            <w:tcW w:w="2835" w:type="dxa"/>
            <w:shd w:val="clear" w:color="auto" w:fill="auto"/>
            <w:vAlign w:val="center"/>
          </w:tcPr>
          <w:p>
            <w:pPr>
              <w:pStyle w:val="38"/>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50"/>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w:t>
            </w:r>
            <w:r>
              <w:rPr>
                <w:rFonts w:hint="eastAsia"/>
                <w:lang w:val="en-US" w:eastAsia="zh-CN"/>
              </w:rPr>
              <w:t>1</w:t>
            </w:r>
            <w:r>
              <w:t>.</w:t>
            </w:r>
          </w:p>
        </w:tc>
      </w:tr>
    </w:tbl>
    <w:p>
      <w:pPr>
        <w:pStyle w:val="47"/>
        <w:keepNext/>
        <w:keepLines/>
        <w:pageBreakBefore w:val="0"/>
        <w:widowControl/>
        <w:kinsoku/>
        <w:wordWrap/>
        <w:overflowPunct w:val="0"/>
        <w:topLinePunct w:val="0"/>
        <w:autoSpaceDE w:val="0"/>
        <w:autoSpaceDN w:val="0"/>
        <w:bidi w:val="0"/>
        <w:adjustRightInd w:val="0"/>
        <w:snapToGrid/>
        <w:spacing w:before="180" w:after="60"/>
        <w:textAlignment w:val="baseline"/>
      </w:pPr>
      <w:r>
        <w:t xml:space="preserve">Table </w:t>
      </w:r>
      <w:r>
        <w:rPr>
          <w:rFonts w:hint="eastAsia"/>
          <w:lang w:val="en-US" w:eastAsia="zh-CN"/>
        </w:rPr>
        <w:t>2.2-2</w:t>
      </w:r>
      <w:r>
        <w:t xml:space="preserve">: Reference sensitivity for </w:t>
      </w:r>
      <w:r>
        <w:rPr>
          <w:rFonts w:hint="eastAsia"/>
        </w:rPr>
        <w:t xml:space="preserve">HD-FDD </w:t>
      </w:r>
      <w:r>
        <w:t>UE category M1 QPSK PREFSENS</w:t>
      </w:r>
    </w:p>
    <w:tbl>
      <w:tblPr>
        <w:tblStyle w:val="25"/>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37"/>
              <w:rPr>
                <w:rFonts w:eastAsia="MS Mincho"/>
              </w:rPr>
            </w:pPr>
            <w:r>
              <w:t>NTN Band</w:t>
            </w:r>
          </w:p>
        </w:tc>
        <w:tc>
          <w:tcPr>
            <w:tcW w:w="3827" w:type="dxa"/>
            <w:shd w:val="clear" w:color="auto" w:fill="auto"/>
            <w:vAlign w:val="center"/>
          </w:tcPr>
          <w:p>
            <w:pPr>
              <w:pStyle w:val="37"/>
              <w:rPr>
                <w:rFonts w:eastAsia="MS Mincho"/>
              </w:rPr>
            </w:pPr>
            <w:r>
              <w:t>REFSENS (dBm)</w:t>
            </w:r>
          </w:p>
        </w:tc>
        <w:tc>
          <w:tcPr>
            <w:tcW w:w="2835" w:type="dxa"/>
            <w:shd w:val="clear" w:color="auto" w:fill="auto"/>
            <w:vAlign w:val="center"/>
          </w:tcPr>
          <w:p>
            <w:pPr>
              <w:pStyle w:val="37"/>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38"/>
              <w:rPr>
                <w:rFonts w:hint="default" w:eastAsia="宋体"/>
                <w:lang w:val="en-US" w:eastAsia="zh-CN"/>
              </w:rPr>
            </w:pPr>
            <w:r>
              <w:rPr>
                <w:rFonts w:eastAsia="MS Mincho"/>
              </w:rPr>
              <w:t>25</w:t>
            </w:r>
            <w:r>
              <w:rPr>
                <w:rFonts w:hint="eastAsia" w:eastAsia="宋体"/>
                <w:lang w:val="en-US" w:eastAsia="zh-CN"/>
              </w:rPr>
              <w:t>3</w:t>
            </w:r>
          </w:p>
        </w:tc>
        <w:tc>
          <w:tcPr>
            <w:tcW w:w="3827" w:type="dxa"/>
            <w:shd w:val="clear" w:color="auto" w:fill="auto"/>
            <w:vAlign w:val="center"/>
          </w:tcPr>
          <w:p>
            <w:pPr>
              <w:pStyle w:val="38"/>
              <w:rPr>
                <w:rFonts w:eastAsia="MS Mincho"/>
              </w:rPr>
            </w:pPr>
            <w:r>
              <w:rPr>
                <w:rFonts w:eastAsia="MS Mincho"/>
              </w:rPr>
              <w:t>-103.5</w:t>
            </w:r>
          </w:p>
        </w:tc>
        <w:tc>
          <w:tcPr>
            <w:tcW w:w="2835" w:type="dxa"/>
            <w:shd w:val="clear" w:color="auto" w:fill="auto"/>
            <w:vAlign w:val="center"/>
          </w:tcPr>
          <w:p>
            <w:pPr>
              <w:pStyle w:val="38"/>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50"/>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pStyle w:val="47"/>
        <w:keepNext/>
        <w:keepLines/>
        <w:pageBreakBefore w:val="0"/>
        <w:widowControl/>
        <w:kinsoku/>
        <w:wordWrap/>
        <w:overflowPunct w:val="0"/>
        <w:topLinePunct w:val="0"/>
        <w:autoSpaceDE w:val="0"/>
        <w:autoSpaceDN w:val="0"/>
        <w:bidi w:val="0"/>
        <w:adjustRightInd w:val="0"/>
        <w:snapToGrid/>
        <w:spacing w:before="180" w:after="60"/>
        <w:textAlignment w:val="baseline"/>
      </w:pPr>
      <w:r>
        <w:t xml:space="preserve">Table </w:t>
      </w:r>
      <w:r>
        <w:rPr>
          <w:rFonts w:hint="eastAsia"/>
          <w:lang w:val="en-US" w:eastAsia="zh-CN"/>
        </w:rPr>
        <w:t>2.2-3</w:t>
      </w:r>
      <w:r>
        <w:t>: Reference sensitivity for UE category NB1 and NB2</w:t>
      </w:r>
    </w:p>
    <w:tbl>
      <w:tblPr>
        <w:tblStyle w:val="25"/>
        <w:tblW w:w="5201" w:type="dxa"/>
        <w:jc w:val="center"/>
        <w:tblLayout w:type="autofit"/>
        <w:tblCellMar>
          <w:top w:w="0" w:type="dxa"/>
          <w:left w:w="108" w:type="dxa"/>
          <w:bottom w:w="0" w:type="dxa"/>
          <w:right w:w="108" w:type="dxa"/>
        </w:tblCellMar>
      </w:tblPr>
      <w:tblGrid>
        <w:gridCol w:w="3621"/>
        <w:gridCol w:w="1580"/>
      </w:tblGrid>
      <w:tr>
        <w:tblPrEx>
          <w:tblCellMar>
            <w:top w:w="0" w:type="dxa"/>
            <w:left w:w="108" w:type="dxa"/>
            <w:bottom w:w="0" w:type="dxa"/>
            <w:right w:w="108" w:type="dxa"/>
          </w:tblCellMar>
        </w:tblPrEx>
        <w:trPr>
          <w:trHeight w:val="288" w:hRule="atLeast"/>
          <w:jc w:val="center"/>
        </w:trPr>
        <w:tc>
          <w:tcPr>
            <w:tcW w:w="3621"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7"/>
              <w:rPr>
                <w:rFonts w:cs="Arial"/>
                <w:lang w:val="en-US" w:eastAsia="ja-JP"/>
              </w:rPr>
            </w:pPr>
            <w:r>
              <w:rPr>
                <w:rFonts w:cs="Arial"/>
                <w:lang w:val="en-US" w:eastAsia="ja-JP"/>
              </w:rPr>
              <w:t>Operating band</w:t>
            </w:r>
          </w:p>
        </w:tc>
        <w:tc>
          <w:tcPr>
            <w:tcW w:w="1580" w:type="dxa"/>
            <w:tcBorders>
              <w:top w:val="single" w:color="auto" w:sz="4" w:space="0"/>
              <w:left w:val="nil"/>
              <w:bottom w:val="single" w:color="auto" w:sz="4" w:space="0"/>
              <w:right w:val="single" w:color="auto" w:sz="4" w:space="0"/>
            </w:tcBorders>
            <w:shd w:val="clear" w:color="auto" w:fill="auto"/>
            <w:noWrap/>
            <w:vAlign w:val="center"/>
          </w:tcPr>
          <w:p>
            <w:pPr>
              <w:pStyle w:val="37"/>
              <w:rPr>
                <w:rFonts w:cs="Arial"/>
                <w:lang w:val="en-US" w:eastAsia="ja-JP"/>
              </w:rPr>
            </w:pPr>
            <w:r>
              <w:rPr>
                <w:rFonts w:cs="Arial"/>
                <w:lang w:val="en-US" w:eastAsia="ja-JP"/>
              </w:rPr>
              <w:t>REFSENS [dBm]</w:t>
            </w:r>
          </w:p>
        </w:tc>
      </w:tr>
      <w:tr>
        <w:tblPrEx>
          <w:tblCellMar>
            <w:top w:w="0" w:type="dxa"/>
            <w:left w:w="108" w:type="dxa"/>
            <w:bottom w:w="0" w:type="dxa"/>
            <w:right w:w="108" w:type="dxa"/>
          </w:tblCellMar>
        </w:tblPrEx>
        <w:trPr>
          <w:trHeight w:val="600" w:hRule="atLeast"/>
          <w:jc w:val="center"/>
        </w:trPr>
        <w:tc>
          <w:tcPr>
            <w:tcW w:w="3621" w:type="dxa"/>
            <w:tcBorders>
              <w:top w:val="nil"/>
              <w:left w:val="single" w:color="auto" w:sz="4" w:space="0"/>
              <w:bottom w:val="single" w:color="auto" w:sz="4" w:space="0"/>
              <w:right w:val="single" w:color="auto" w:sz="4" w:space="0"/>
            </w:tcBorders>
            <w:shd w:val="clear" w:color="auto" w:fill="auto"/>
            <w:vAlign w:val="center"/>
          </w:tcPr>
          <w:p>
            <w:pPr>
              <w:pStyle w:val="38"/>
              <w:rPr>
                <w:rFonts w:hint="default" w:eastAsia="宋体" w:cs="Arial"/>
                <w:lang w:val="en-US" w:eastAsia="zh-CN"/>
              </w:rPr>
            </w:pPr>
            <w:r>
              <w:rPr>
                <w:rFonts w:eastAsia="Courier New" w:cs="Arial"/>
                <w:lang w:eastAsia="ja-JP"/>
              </w:rPr>
              <w:t>According to subclause 5.2B</w:t>
            </w:r>
            <w:r>
              <w:rPr>
                <w:rFonts w:hint="eastAsia" w:eastAsia="宋体" w:cs="Arial"/>
                <w:lang w:val="en-US" w:eastAsia="zh-CN"/>
              </w:rPr>
              <w:t xml:space="preserve"> in TS 36.102</w:t>
            </w:r>
          </w:p>
        </w:tc>
        <w:tc>
          <w:tcPr>
            <w:tcW w:w="1580" w:type="dxa"/>
            <w:tcBorders>
              <w:top w:val="nil"/>
              <w:left w:val="nil"/>
              <w:bottom w:val="single" w:color="auto" w:sz="4" w:space="0"/>
              <w:right w:val="single" w:color="auto" w:sz="4" w:space="0"/>
            </w:tcBorders>
            <w:shd w:val="clear" w:color="auto" w:fill="auto"/>
            <w:noWrap/>
            <w:vAlign w:val="center"/>
          </w:tcPr>
          <w:p>
            <w:pPr>
              <w:pStyle w:val="38"/>
              <w:rPr>
                <w:rFonts w:cs="Arial"/>
                <w:lang w:val="en-US" w:eastAsia="ja-JP"/>
              </w:rPr>
            </w:pPr>
            <w:r>
              <w:rPr>
                <w:rFonts w:cs="Arial"/>
                <w:lang w:val="en-US" w:eastAsia="ja-JP"/>
              </w:rPr>
              <w:t>- 108.2</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2: </w:t>
      </w:r>
      <w:r>
        <w:rPr>
          <w:rFonts w:hint="eastAsia"/>
          <w:b w:val="0"/>
          <w:bCs w:val="0"/>
          <w:i w:val="0"/>
          <w:iCs w:val="0"/>
          <w:lang w:val="en-US" w:eastAsia="zh-CN"/>
        </w:rPr>
        <w:t>For the extended L-band, t</w:t>
      </w:r>
      <w:r>
        <w:rPr>
          <w:rFonts w:hint="eastAsia"/>
          <w:lang w:val="en-US" w:eastAsia="zh-CN"/>
        </w:rPr>
        <w:t>he reference sensitivity level for eMTC NTN can be defined as Table 2.2-1 and Table 2.2-2 and the reference sensitivity level for NB-IoT can be defined as Table 2.2-3.</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Receiver blocking requirement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Based on the discussion at last meeting, the assumption of 3GPP NTN and ECC study are different wherein 3GPP NTN assumed that 3GPP NTN UE does not operate within IMT coverage and ECC study assumed that NTN UE also can operate within the IMT coverage. Therefore, ECC study [4] [5] outcome is not valid for 3GPP NTN since the deployment assumption is different.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In last meeting, RAN4 received LS from ETSI SES that 3GPP NTN are not captured in current harmonized standards and they will setup new WI for that purpose [6]. Based on our analysis, there are 2 options available for the determining of the in-band blocking requirement:</w:t>
      </w:r>
    </w:p>
    <w:p>
      <w:pPr>
        <w:keepNext w:val="0"/>
        <w:keepLines w:val="0"/>
        <w:pageBreakBefore w:val="0"/>
        <w:widowControl w:val="0"/>
        <w:numPr>
          <w:ilvl w:val="0"/>
          <w:numId w:val="6"/>
        </w:numPr>
        <w:kinsoku/>
        <w:wordWrap/>
        <w:overflowPunct/>
        <w:topLinePunct w:val="0"/>
        <w:autoSpaceDE/>
        <w:autoSpaceDN/>
        <w:bidi w:val="0"/>
        <w:adjustRightInd/>
        <w:snapToGrid/>
        <w:spacing w:before="120" w:after="120"/>
        <w:ind w:left="420" w:leftChars="0" w:hanging="420" w:firstLineChars="0"/>
        <w:textAlignment w:val="auto"/>
        <w:rPr>
          <w:rFonts w:hint="default"/>
          <w:lang w:val="en-US" w:eastAsia="zh-CN"/>
        </w:rPr>
      </w:pPr>
      <w:r>
        <w:rPr>
          <w:rFonts w:hint="eastAsia"/>
          <w:lang w:val="en-US" w:eastAsia="zh-CN"/>
        </w:rPr>
        <w:t>Alt 1: Except case 1 and case 2, introduce a case 3 for extended L-band to match with the frequency offset of IMT bands and the interferer signal power level will be introduced after ETSI finish the new WI associated with 3GPP NTN;</w:t>
      </w:r>
    </w:p>
    <w:p>
      <w:pPr>
        <w:keepNext w:val="0"/>
        <w:keepLines w:val="0"/>
        <w:pageBreakBefore w:val="0"/>
        <w:widowControl w:val="0"/>
        <w:numPr>
          <w:ilvl w:val="0"/>
          <w:numId w:val="6"/>
        </w:numPr>
        <w:kinsoku/>
        <w:wordWrap/>
        <w:overflowPunct/>
        <w:topLinePunct w:val="0"/>
        <w:autoSpaceDE/>
        <w:autoSpaceDN/>
        <w:bidi w:val="0"/>
        <w:adjustRightInd/>
        <w:snapToGrid/>
        <w:spacing w:before="120" w:after="120"/>
        <w:ind w:left="420" w:leftChars="0" w:hanging="420" w:firstLineChars="0"/>
        <w:textAlignment w:val="auto"/>
        <w:rPr>
          <w:rFonts w:hint="default"/>
          <w:lang w:val="en-US" w:eastAsia="zh-CN"/>
        </w:rPr>
      </w:pPr>
      <w:r>
        <w:rPr>
          <w:rFonts w:hint="eastAsia"/>
          <w:lang w:val="en-US" w:eastAsia="zh-CN"/>
        </w:rPr>
        <w:t>Alt 2: Except case 1 and case 2, introduce a note declare that UE may experience harmful interference from IMT bands in adjacent frequencies when operating in same geographical area and the specific impact will be introduced after ETSI finish the new WI associated with 3GPP NTN.</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lang w:val="en-US" w:eastAsia="zh-CN"/>
        </w:rPr>
        <w:t xml:space="preserve">For example, the in-band blocking requirement corresponding Alt 1 is shown as Table 2.3-1 and the in-band blocking requirement corresponding Alt 2 is shown as Table 2.3-2 for category M1. </w:t>
      </w:r>
    </w:p>
    <w:p>
      <w:pPr>
        <w:pStyle w:val="47"/>
        <w:keepNext/>
        <w:keepLines/>
        <w:pageBreakBefore w:val="0"/>
        <w:widowControl/>
        <w:kinsoku/>
        <w:wordWrap/>
        <w:overflowPunct w:val="0"/>
        <w:topLinePunct w:val="0"/>
        <w:autoSpaceDE w:val="0"/>
        <w:autoSpaceDN w:val="0"/>
        <w:bidi w:val="0"/>
        <w:adjustRightInd w:val="0"/>
        <w:snapToGrid/>
        <w:spacing w:before="180" w:after="60"/>
        <w:textAlignment w:val="baseline"/>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Table2.3-1: In-band blocking requirement</w:t>
      </w:r>
    </w:p>
    <w:tbl>
      <w:tblPr>
        <w:tblStyle w:val="25"/>
        <w:tblW w:w="868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906"/>
        <w:gridCol w:w="1252"/>
        <w:gridCol w:w="703"/>
        <w:gridCol w:w="1765"/>
        <w:gridCol w:w="1903"/>
        <w:gridCol w:w="21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8" w:hRule="atLeast"/>
          <w:jc w:val="center"/>
        </w:trPr>
        <w:tc>
          <w:tcPr>
            <w:tcW w:w="906" w:type="dxa"/>
            <w:vMerge w:val="restart"/>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E-UTRA band</w:t>
            </w:r>
          </w:p>
        </w:tc>
        <w:tc>
          <w:tcPr>
            <w:tcW w:w="1252" w:type="dxa"/>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Parameter</w:t>
            </w:r>
          </w:p>
        </w:tc>
        <w:tc>
          <w:tcPr>
            <w:tcW w:w="703" w:type="dxa"/>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Unit</w:t>
            </w:r>
          </w:p>
        </w:tc>
        <w:tc>
          <w:tcPr>
            <w:tcW w:w="1765" w:type="dxa"/>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1</w:t>
            </w:r>
          </w:p>
        </w:tc>
        <w:tc>
          <w:tcPr>
            <w:tcW w:w="1903" w:type="dxa"/>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2</w:t>
            </w:r>
          </w:p>
        </w:tc>
        <w:tc>
          <w:tcPr>
            <w:tcW w:w="2158" w:type="dxa"/>
            <w:tcBorders>
              <w:top w:val="single" w:color="000000" w:sz="6" w:space="0"/>
              <w:left w:val="single" w:color="000000" w:sz="6" w:space="0"/>
              <w:bottom w:val="single" w:color="000000" w:sz="6" w:space="0"/>
              <w:right w:val="single" w:color="000000" w:sz="6" w:space="0"/>
            </w:tcBorders>
            <w:shd w:val="clear" w:color="auto" w:fill="FFFF00"/>
          </w:tcPr>
          <w:p>
            <w:pPr>
              <w:pStyle w:val="37"/>
              <w:rPr>
                <w:rFonts w:hint="default" w:cs="Arial"/>
                <w:color w:val="000000" w:themeColor="text1"/>
                <w:vertAlign w:val="superscript"/>
                <w:lang w:val="en-US" w:eastAsia="zh-CN"/>
                <w14:textFill>
                  <w14:solidFill>
                    <w14:schemeClr w14:val="tx1"/>
                  </w14:solidFill>
                </w14:textFill>
              </w:rPr>
            </w:pPr>
            <w:r>
              <w:rPr>
                <w:rFonts w:hint="eastAsia" w:cs="Arial"/>
                <w:color w:val="000000" w:themeColor="text1"/>
                <w:lang w:val="en-US" w:eastAsia="zh-CN"/>
                <w14:textFill>
                  <w14:solidFill>
                    <w14:schemeClr w14:val="tx1"/>
                  </w14:solidFill>
                </w14:textFill>
              </w:rPr>
              <w:t>Case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06"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cs="Arial"/>
                <w:color w:val="000000" w:themeColor="text1"/>
                <w:vertAlign w:val="subscript"/>
                <w:lang w:eastAsia="zh-CN"/>
                <w14:textFill>
                  <w14:solidFill>
                    <w14:schemeClr w14:val="tx1"/>
                  </w14:solidFill>
                </w14:textFill>
              </w:rPr>
              <w:t>Interferer</w:t>
            </w:r>
          </w:p>
        </w:tc>
        <w:tc>
          <w:tcPr>
            <w:tcW w:w="7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dBm</w:t>
            </w:r>
          </w:p>
        </w:tc>
        <w:tc>
          <w:tcPr>
            <w:tcW w:w="1765"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-56</w:t>
            </w:r>
          </w:p>
        </w:tc>
        <w:tc>
          <w:tcPr>
            <w:tcW w:w="19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-44</w:t>
            </w:r>
          </w:p>
        </w:tc>
        <w:tc>
          <w:tcPr>
            <w:tcW w:w="2158" w:type="dxa"/>
            <w:tcBorders>
              <w:top w:val="single" w:color="000000" w:sz="6" w:space="0"/>
              <w:left w:val="single" w:color="000000" w:sz="6" w:space="0"/>
              <w:bottom w:val="single" w:color="000000" w:sz="6" w:space="0"/>
              <w:right w:val="single" w:color="000000" w:sz="6" w:space="0"/>
            </w:tcBorders>
            <w:shd w:val="clear" w:color="auto" w:fill="FFFF00"/>
            <w:vAlign w:val="center"/>
          </w:tcPr>
          <w:p>
            <w:pPr>
              <w:pStyle w:val="38"/>
              <w:rPr>
                <w:rFonts w:hint="default" w:cs="Arial"/>
                <w:color w:val="000000" w:themeColor="text1"/>
                <w:lang w:val="en-US" w:eastAsia="zh-CN"/>
                <w14:textFill>
                  <w14:solidFill>
                    <w14:schemeClr w14:val="tx1"/>
                  </w14:solidFill>
                </w14:textFill>
              </w:rPr>
            </w:pPr>
            <w:r>
              <w:rPr>
                <w:rFonts w:hint="eastAsia" w:cs="Arial"/>
                <w:color w:val="000000" w:themeColor="text1"/>
                <w:lang w:val="en-US" w:eastAsia="zh-CN"/>
                <w14:textFill>
                  <w14:solidFill>
                    <w14:schemeClr w14:val="tx1"/>
                  </w14:solidFill>
                </w14:textFill>
              </w:rPr>
              <w:t>[TBD]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06"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r>
              <w:rPr>
                <w:rFonts w:cs="Arial"/>
                <w:color w:val="000000" w:themeColor="text1"/>
                <w:lang w:eastAsia="zh-CN"/>
                <w14:textFill>
                  <w14:solidFill>
                    <w14:schemeClr w14:val="tx1"/>
                  </w14:solidFill>
                </w14:textFill>
              </w:rPr>
              <w:t xml:space="preserve"> (offset)</w:t>
            </w:r>
          </w:p>
        </w:tc>
        <w:tc>
          <w:tcPr>
            <w:tcW w:w="7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1765" w:type="dxa"/>
            <w:tcBorders>
              <w:top w:val="single" w:color="000000" w:sz="6" w:space="0"/>
              <w:left w:val="single" w:color="000000" w:sz="6" w:space="0"/>
              <w:bottom w:val="single" w:color="000000" w:sz="6" w:space="0"/>
              <w:right w:val="single" w:color="000000" w:sz="6" w:space="0"/>
            </w:tcBorders>
            <w:vAlign w:val="center"/>
          </w:tcPr>
          <w:p>
            <w:pPr>
              <w:pStyle w:val="38"/>
              <w:ind w:left="-13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p>
            <w:pPr>
              <w:pStyle w:val="3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38"/>
              <w:ind w:left="-130"/>
              <w:rPr>
                <w:rFonts w:cs="Arial"/>
                <w:color w:val="000000" w:themeColor="text1"/>
                <w:vertAlign w:val="subscript"/>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1</w:t>
            </w:r>
          </w:p>
        </w:tc>
        <w:tc>
          <w:tcPr>
            <w:tcW w:w="1903" w:type="dxa"/>
            <w:tcBorders>
              <w:top w:val="single" w:color="000000" w:sz="6" w:space="0"/>
              <w:left w:val="single" w:color="000000" w:sz="6" w:space="0"/>
              <w:bottom w:val="single" w:color="000000" w:sz="6" w:space="0"/>
              <w:right w:val="single" w:color="000000" w:sz="6" w:space="0"/>
            </w:tcBorders>
            <w:vAlign w:val="center"/>
          </w:tcPr>
          <w:p>
            <w:pPr>
              <w:pStyle w:val="38"/>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p>
            <w:pPr>
              <w:pStyle w:val="38"/>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38"/>
              <w:ind w:left="-108"/>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2</w:t>
            </w:r>
          </w:p>
        </w:tc>
        <w:tc>
          <w:tcPr>
            <w:tcW w:w="2158" w:type="dxa"/>
            <w:tcBorders>
              <w:top w:val="single" w:color="000000" w:sz="6" w:space="0"/>
              <w:left w:val="single" w:color="000000" w:sz="6" w:space="0"/>
              <w:bottom w:val="single" w:color="000000" w:sz="6" w:space="0"/>
              <w:right w:val="single" w:color="000000" w:sz="6" w:space="0"/>
            </w:tcBorders>
            <w:shd w:val="clear" w:color="auto" w:fill="FFFF00"/>
            <w:vAlign w:val="center"/>
          </w:tcPr>
          <w:p>
            <w:pPr>
              <w:pStyle w:val="38"/>
              <w:ind w:left="-108"/>
              <w:rPr>
                <w:rFonts w:cs="Arial"/>
                <w:color w:val="000000" w:themeColor="text1"/>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06"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256, 255</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p>
        </w:tc>
        <w:tc>
          <w:tcPr>
            <w:tcW w:w="7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1765"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(NOTE 2)</w:t>
            </w:r>
          </w:p>
        </w:tc>
        <w:tc>
          <w:tcPr>
            <w:tcW w:w="19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15</w:t>
            </w:r>
          </w:p>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to</w:t>
            </w:r>
          </w:p>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DL_high </w:t>
            </w:r>
            <w:r>
              <w:rPr>
                <w:rFonts w:cs="Arial"/>
                <w:color w:val="000000" w:themeColor="text1"/>
                <w:lang w:eastAsia="zh-CN"/>
                <w14:textFill>
                  <w14:solidFill>
                    <w14:schemeClr w14:val="tx1"/>
                  </w14:solidFill>
                </w14:textFill>
              </w:rPr>
              <w:t>+ 15</w:t>
            </w:r>
          </w:p>
        </w:tc>
        <w:tc>
          <w:tcPr>
            <w:tcW w:w="2158" w:type="dxa"/>
            <w:tcBorders>
              <w:top w:val="single" w:color="000000" w:sz="6" w:space="0"/>
              <w:left w:val="single" w:color="000000" w:sz="6" w:space="0"/>
              <w:bottom w:val="single" w:color="000000" w:sz="6" w:space="0"/>
              <w:right w:val="single" w:color="000000" w:sz="6" w:space="0"/>
            </w:tcBorders>
            <w:shd w:val="clear" w:color="auto" w:fill="FFFF00"/>
            <w:vAlign w:val="center"/>
          </w:tcPr>
          <w:p>
            <w:pPr>
              <w:pStyle w:val="38"/>
              <w:rPr>
                <w:rFonts w:cs="Arial"/>
                <w:color w:val="000000" w:themeColor="text1"/>
                <w:lang w:eastAsia="zh-CN"/>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06" w:type="dxa"/>
            <w:tcBorders>
              <w:top w:val="single" w:color="000000" w:sz="6" w:space="0"/>
              <w:left w:val="single" w:color="000000" w:sz="6" w:space="0"/>
              <w:bottom w:val="single" w:color="000000" w:sz="6" w:space="0"/>
              <w:right w:val="single" w:color="000000" w:sz="6" w:space="0"/>
            </w:tcBorders>
            <w:vAlign w:val="center"/>
          </w:tcPr>
          <w:p>
            <w:pPr>
              <w:pStyle w:val="38"/>
              <w:rPr>
                <w:rFonts w:hint="default" w:eastAsia="宋体" w:cs="Arial"/>
                <w:color w:val="000000" w:themeColor="text1"/>
                <w:lang w:val="en-US" w:eastAsia="zh-CN"/>
                <w14:textFill>
                  <w14:solidFill>
                    <w14:schemeClr w14:val="tx1"/>
                  </w14:solidFill>
                </w14:textFill>
              </w:rPr>
            </w:pPr>
            <w:r>
              <w:rPr>
                <w:rFonts w:hint="eastAsia" w:eastAsia="宋体" w:cs="Arial"/>
                <w:color w:val="000000" w:themeColor="text1"/>
                <w:lang w:val="en-US" w:eastAsia="zh-CN"/>
                <w14:textFill>
                  <w14:solidFill>
                    <w14:schemeClr w14:val="tx1"/>
                  </w14:solidFill>
                </w14:textFill>
              </w:rPr>
              <w:t>253</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38"/>
              <w:rPr>
                <w:rFonts w:ascii="Arial" w:hAnsi="Arial" w:eastAsia="Times New Roman" w:cs="Arial"/>
                <w:color w:val="000000" w:themeColor="text1"/>
                <w:kern w:val="0"/>
                <w:sz w:val="18"/>
                <w:szCs w:val="20"/>
                <w:lang w:val="en-GB" w:eastAsia="zh-CN" w:bidi="ar-SA"/>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p>
        </w:tc>
        <w:tc>
          <w:tcPr>
            <w:tcW w:w="703" w:type="dxa"/>
            <w:tcBorders>
              <w:top w:val="single" w:color="000000" w:sz="6" w:space="0"/>
              <w:left w:val="single" w:color="000000" w:sz="6" w:space="0"/>
              <w:bottom w:val="single" w:color="000000" w:sz="6" w:space="0"/>
              <w:right w:val="single" w:color="000000" w:sz="6" w:space="0"/>
            </w:tcBorders>
            <w:vAlign w:val="center"/>
          </w:tcPr>
          <w:p>
            <w:pPr>
              <w:pStyle w:val="38"/>
              <w:rPr>
                <w:rFonts w:ascii="Arial" w:hAnsi="Arial" w:eastAsia="Times New Roman" w:cs="Arial"/>
                <w:color w:val="000000" w:themeColor="text1"/>
                <w:kern w:val="0"/>
                <w:sz w:val="18"/>
                <w:szCs w:val="20"/>
                <w:lang w:val="en-GB" w:eastAsia="zh-CN" w:bidi="ar-SA"/>
                <w14:textFill>
                  <w14:solidFill>
                    <w14:schemeClr w14:val="tx1"/>
                  </w14:solidFill>
                </w14:textFill>
              </w:rPr>
            </w:pPr>
            <w:r>
              <w:rPr>
                <w:rFonts w:cs="Arial"/>
                <w:color w:val="000000" w:themeColor="text1"/>
                <w:lang w:eastAsia="zh-CN"/>
                <w14:textFill>
                  <w14:solidFill>
                    <w14:schemeClr w14:val="tx1"/>
                  </w14:solidFill>
                </w14:textFill>
              </w:rPr>
              <w:t>MHz</w:t>
            </w:r>
          </w:p>
        </w:tc>
        <w:tc>
          <w:tcPr>
            <w:tcW w:w="1765" w:type="dxa"/>
            <w:tcBorders>
              <w:top w:val="single" w:color="000000" w:sz="6" w:space="0"/>
              <w:left w:val="single" w:color="000000" w:sz="6" w:space="0"/>
              <w:bottom w:val="single" w:color="000000" w:sz="6" w:space="0"/>
              <w:right w:val="single" w:color="000000" w:sz="6" w:space="0"/>
            </w:tcBorders>
            <w:vAlign w:val="center"/>
          </w:tcPr>
          <w:p>
            <w:pPr>
              <w:pStyle w:val="38"/>
              <w:rPr>
                <w:rFonts w:ascii="Arial" w:hAnsi="Arial" w:eastAsia="Times New Roman" w:cs="Arial"/>
                <w:color w:val="000000" w:themeColor="text1"/>
                <w:kern w:val="0"/>
                <w:sz w:val="18"/>
                <w:szCs w:val="20"/>
                <w:lang w:val="en-GB" w:eastAsia="zh-CN" w:bidi="ar-SA"/>
                <w14:textFill>
                  <w14:solidFill>
                    <w14:schemeClr w14:val="tx1"/>
                  </w14:solidFill>
                </w14:textFill>
              </w:rPr>
            </w:pPr>
            <w:r>
              <w:rPr>
                <w:rFonts w:cs="Arial"/>
                <w:color w:val="000000" w:themeColor="text1"/>
                <w:lang w:eastAsia="zh-CN"/>
                <w14:textFill>
                  <w14:solidFill>
                    <w14:schemeClr w14:val="tx1"/>
                  </w14:solidFill>
                </w14:textFill>
              </w:rPr>
              <w:t>(NOTE 2)</w:t>
            </w:r>
          </w:p>
        </w:tc>
        <w:tc>
          <w:tcPr>
            <w:tcW w:w="19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15</w:t>
            </w:r>
          </w:p>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to</w:t>
            </w:r>
          </w:p>
          <w:p>
            <w:pPr>
              <w:pStyle w:val="38"/>
              <w:rPr>
                <w:rFonts w:ascii="Arial" w:hAnsi="Arial" w:eastAsia="Times New Roman" w:cs="Arial"/>
                <w:color w:val="000000" w:themeColor="text1"/>
                <w:kern w:val="0"/>
                <w:sz w:val="18"/>
                <w:szCs w:val="20"/>
                <w:lang w:val="en-GB" w:eastAsia="zh-CN" w:bidi="ar-SA"/>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DL_high </w:t>
            </w:r>
            <w:r>
              <w:rPr>
                <w:rFonts w:cs="Arial"/>
                <w:color w:val="000000" w:themeColor="text1"/>
                <w:lang w:eastAsia="zh-CN"/>
                <w14:textFill>
                  <w14:solidFill>
                    <w14:schemeClr w14:val="tx1"/>
                  </w14:solidFill>
                </w14:textFill>
              </w:rPr>
              <w:t>+ 15</w:t>
            </w:r>
          </w:p>
        </w:tc>
        <w:tc>
          <w:tcPr>
            <w:tcW w:w="2158" w:type="dxa"/>
            <w:tcBorders>
              <w:top w:val="single" w:color="000000" w:sz="6" w:space="0"/>
              <w:left w:val="single" w:color="000000" w:sz="6" w:space="0"/>
              <w:bottom w:val="single" w:color="000000" w:sz="6" w:space="0"/>
              <w:right w:val="single" w:color="000000" w:sz="6" w:space="0"/>
            </w:tcBorders>
            <w:shd w:val="clear" w:color="auto" w:fill="FFFF00"/>
            <w:vAlign w:val="center"/>
          </w:tcPr>
          <w:p>
            <w:pPr>
              <w:pStyle w:val="38"/>
              <w:rPr>
                <w:rFonts w:hint="default" w:cs="Arial"/>
                <w:color w:val="000000" w:themeColor="text1"/>
                <w:lang w:val="en-US"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xml:space="preserve">– </w:t>
            </w:r>
            <w:r>
              <w:rPr>
                <w:rFonts w:hint="eastAsia" w:cs="Arial"/>
                <w:color w:val="000000" w:themeColor="text1"/>
                <w:highlight w:val="none"/>
                <w:lang w:val="en-US" w:eastAsia="zh-CN"/>
                <w14:textFill>
                  <w14:solidFill>
                    <w14:schemeClr w14:val="tx1"/>
                  </w14:solidFill>
                </w14:textFill>
              </w:rPr>
              <w:t>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687" w:type="dxa"/>
            <w:gridSpan w:val="6"/>
            <w:tcBorders>
              <w:top w:val="single" w:color="000000" w:sz="6" w:space="0"/>
              <w:left w:val="single" w:color="000000" w:sz="6" w:space="0"/>
              <w:bottom w:val="single" w:color="000000" w:sz="6" w:space="0"/>
              <w:right w:val="single" w:color="000000" w:sz="6" w:space="0"/>
            </w:tcBorders>
            <w:vAlign w:val="center"/>
          </w:tcPr>
          <w:p>
            <w:pPr>
              <w:pStyle w:val="50"/>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50"/>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50"/>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50"/>
              <w:ind w:left="1987"/>
              <w:rPr>
                <w:rFonts w:eastAsia="MS Mincho" w:cs="Arial"/>
              </w:rPr>
            </w:pPr>
            <w:r>
              <w:rPr>
                <w:rFonts w:eastAsia="MS Mincho" w:cs="Arial"/>
              </w:rPr>
              <w:t>b. the carrier frequency +BW/2 + F</w:t>
            </w:r>
            <w:r>
              <w:rPr>
                <w:rFonts w:eastAsia="MS Mincho" w:cs="Arial"/>
                <w:vertAlign w:val="subscript"/>
              </w:rPr>
              <w:t>Ioffset, case 1</w:t>
            </w:r>
          </w:p>
          <w:p>
            <w:pPr>
              <w:pStyle w:val="38"/>
              <w:jc w:val="left"/>
              <w:rPr>
                <w:rFonts w:hint="default" w:eastAsia="宋体" w:cs="Arial"/>
                <w:highlight w:val="yellow"/>
                <w:vertAlign w:val="baseline"/>
                <w:lang w:val="en-US" w:eastAsia="zh-CN"/>
              </w:rPr>
            </w:pPr>
            <w:r>
              <w:rPr>
                <w:rFonts w:cs="Arial"/>
              </w:rPr>
              <w:t>NOTE 3:</w:t>
            </w:r>
            <w:r>
              <w:rPr>
                <w:rFonts w:hint="eastAsia" w:eastAsia="宋体" w:cs="Arial"/>
                <w:lang w:val="en-US" w:eastAsia="zh-CN"/>
              </w:rPr>
              <w:t xml:space="preserve">  </w:t>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tc>
      </w:tr>
    </w:tbl>
    <w:p>
      <w:pPr>
        <w:pStyle w:val="47"/>
        <w:keepNext/>
        <w:keepLines/>
        <w:pageBreakBefore w:val="0"/>
        <w:widowControl/>
        <w:kinsoku/>
        <w:wordWrap/>
        <w:overflowPunct w:val="0"/>
        <w:topLinePunct w:val="0"/>
        <w:autoSpaceDE w:val="0"/>
        <w:autoSpaceDN w:val="0"/>
        <w:bidi w:val="0"/>
        <w:adjustRightInd w:val="0"/>
        <w:snapToGrid/>
        <w:spacing w:before="180" w:after="60"/>
        <w:textAlignment w:val="baseline"/>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w:t>
      </w:r>
      <w:r>
        <w:rPr>
          <w:color w:val="000000" w:themeColor="text1"/>
          <w14:textFill>
            <w14:solidFill>
              <w14:schemeClr w14:val="tx1"/>
            </w14:solidFill>
          </w14:textFill>
        </w:rPr>
        <w:t>able</w:t>
      </w:r>
      <w:r>
        <w:rPr>
          <w:rFonts w:hint="eastAsia"/>
          <w:color w:val="000000" w:themeColor="text1"/>
          <w:lang w:val="en-US" w:eastAsia="zh-CN"/>
          <w14:textFill>
            <w14:solidFill>
              <w14:schemeClr w14:val="tx1"/>
            </w14:solidFill>
          </w14:textFill>
        </w:rPr>
        <w:t>2.3-2</w:t>
      </w:r>
      <w:r>
        <w:rPr>
          <w:color w:val="000000" w:themeColor="text1"/>
          <w14:textFill>
            <w14:solidFill>
              <w14:schemeClr w14:val="tx1"/>
            </w14:solidFill>
          </w14:textFill>
        </w:rPr>
        <w:t>: In-band blocking</w:t>
      </w:r>
      <w:r>
        <w:rPr>
          <w:rFonts w:hint="eastAsia"/>
          <w:color w:val="000000" w:themeColor="text1"/>
          <w:lang w:val="en-US" w:eastAsia="zh-CN"/>
          <w14:textFill>
            <w14:solidFill>
              <w14:schemeClr w14:val="tx1"/>
            </w14:solidFill>
          </w14:textFill>
        </w:rPr>
        <w:t xml:space="preserve"> requirement</w:t>
      </w:r>
    </w:p>
    <w:tbl>
      <w:tblPr>
        <w:tblStyle w:val="25"/>
        <w:tblW w:w="868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906"/>
        <w:gridCol w:w="1252"/>
        <w:gridCol w:w="703"/>
        <w:gridCol w:w="2687"/>
        <w:gridCol w:w="313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8" w:hRule="atLeast"/>
          <w:jc w:val="center"/>
        </w:trPr>
        <w:tc>
          <w:tcPr>
            <w:tcW w:w="906" w:type="dxa"/>
            <w:vMerge w:val="restart"/>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E-UTRA band</w:t>
            </w:r>
          </w:p>
        </w:tc>
        <w:tc>
          <w:tcPr>
            <w:tcW w:w="1252" w:type="dxa"/>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Parameter</w:t>
            </w:r>
          </w:p>
        </w:tc>
        <w:tc>
          <w:tcPr>
            <w:tcW w:w="703" w:type="dxa"/>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Unit</w:t>
            </w:r>
          </w:p>
        </w:tc>
        <w:tc>
          <w:tcPr>
            <w:tcW w:w="2687" w:type="dxa"/>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1</w:t>
            </w:r>
          </w:p>
        </w:tc>
        <w:tc>
          <w:tcPr>
            <w:tcW w:w="3139" w:type="dxa"/>
            <w:tcBorders>
              <w:top w:val="single" w:color="000000" w:sz="6" w:space="0"/>
              <w:left w:val="single" w:color="000000" w:sz="6" w:space="0"/>
              <w:bottom w:val="single" w:color="000000" w:sz="6" w:space="0"/>
              <w:right w:val="single" w:color="000000" w:sz="6" w:space="0"/>
            </w:tcBorders>
          </w:tcPr>
          <w:p>
            <w:pPr>
              <w:pStyle w:val="37"/>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06"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cs="Arial"/>
                <w:color w:val="000000" w:themeColor="text1"/>
                <w:vertAlign w:val="subscript"/>
                <w:lang w:eastAsia="zh-CN"/>
                <w14:textFill>
                  <w14:solidFill>
                    <w14:schemeClr w14:val="tx1"/>
                  </w14:solidFill>
                </w14:textFill>
              </w:rPr>
              <w:t>Interferer</w:t>
            </w:r>
          </w:p>
        </w:tc>
        <w:tc>
          <w:tcPr>
            <w:tcW w:w="7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dBm</w:t>
            </w:r>
          </w:p>
        </w:tc>
        <w:tc>
          <w:tcPr>
            <w:tcW w:w="2687"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-56</w:t>
            </w:r>
          </w:p>
        </w:tc>
        <w:tc>
          <w:tcPr>
            <w:tcW w:w="3139"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06"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r>
              <w:rPr>
                <w:rFonts w:cs="Arial"/>
                <w:color w:val="000000" w:themeColor="text1"/>
                <w:lang w:eastAsia="zh-CN"/>
                <w14:textFill>
                  <w14:solidFill>
                    <w14:schemeClr w14:val="tx1"/>
                  </w14:solidFill>
                </w14:textFill>
              </w:rPr>
              <w:t xml:space="preserve"> (offset)</w:t>
            </w:r>
          </w:p>
        </w:tc>
        <w:tc>
          <w:tcPr>
            <w:tcW w:w="7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2687" w:type="dxa"/>
            <w:tcBorders>
              <w:top w:val="single" w:color="000000" w:sz="6" w:space="0"/>
              <w:left w:val="single" w:color="000000" w:sz="6" w:space="0"/>
              <w:bottom w:val="single" w:color="000000" w:sz="6" w:space="0"/>
              <w:right w:val="single" w:color="000000" w:sz="6" w:space="0"/>
            </w:tcBorders>
            <w:vAlign w:val="center"/>
          </w:tcPr>
          <w:p>
            <w:pPr>
              <w:pStyle w:val="38"/>
              <w:ind w:left="-13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p>
            <w:pPr>
              <w:pStyle w:val="3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38"/>
              <w:ind w:left="-130"/>
              <w:rPr>
                <w:rFonts w:cs="Arial"/>
                <w:color w:val="000000" w:themeColor="text1"/>
                <w:vertAlign w:val="subscript"/>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1</w:t>
            </w:r>
          </w:p>
        </w:tc>
        <w:tc>
          <w:tcPr>
            <w:tcW w:w="3139" w:type="dxa"/>
            <w:tcBorders>
              <w:top w:val="single" w:color="000000" w:sz="6" w:space="0"/>
              <w:left w:val="single" w:color="000000" w:sz="6" w:space="0"/>
              <w:bottom w:val="single" w:color="000000" w:sz="6" w:space="0"/>
              <w:right w:val="single" w:color="000000" w:sz="6" w:space="0"/>
            </w:tcBorders>
            <w:vAlign w:val="center"/>
          </w:tcPr>
          <w:p>
            <w:pPr>
              <w:pStyle w:val="38"/>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p>
            <w:pPr>
              <w:pStyle w:val="38"/>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38"/>
              <w:ind w:left="-108"/>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06" w:type="dxa"/>
            <w:tcBorders>
              <w:top w:val="single" w:color="000000" w:sz="6" w:space="0"/>
              <w:left w:val="single" w:color="000000" w:sz="6" w:space="0"/>
              <w:bottom w:val="single" w:color="000000" w:sz="6" w:space="0"/>
              <w:right w:val="single" w:color="000000" w:sz="6" w:space="0"/>
            </w:tcBorders>
            <w:vAlign w:val="center"/>
          </w:tcPr>
          <w:p>
            <w:pPr>
              <w:pStyle w:val="38"/>
              <w:rPr>
                <w:rFonts w:hint="default" w:eastAsia="宋体" w:cs="Arial"/>
                <w:color w:val="000000" w:themeColor="text1"/>
                <w:vertAlign w:val="superscript"/>
                <w:lang w:val="en-US" w:eastAsia="zh-CN"/>
                <w14:textFill>
                  <w14:solidFill>
                    <w14:schemeClr w14:val="tx1"/>
                  </w14:solidFill>
                </w14:textFill>
              </w:rPr>
            </w:pPr>
            <w:r>
              <w:rPr>
                <w:rFonts w:cs="Arial"/>
                <w:color w:val="000000" w:themeColor="text1"/>
                <w14:textFill>
                  <w14:solidFill>
                    <w14:schemeClr w14:val="tx1"/>
                  </w14:solidFill>
                </w14:textFill>
              </w:rPr>
              <w:t>256, 255</w:t>
            </w:r>
            <w:r>
              <w:rPr>
                <w:rFonts w:hint="eastAsia" w:eastAsia="宋体" w:cs="Arial"/>
                <w:color w:val="000000" w:themeColor="text1"/>
                <w:lang w:val="en-US" w:eastAsia="zh-CN"/>
                <w14:textFill>
                  <w14:solidFill>
                    <w14:schemeClr w14:val="tx1"/>
                  </w14:solidFill>
                </w14:textFill>
              </w:rPr>
              <w:t>, 253</w:t>
            </w:r>
            <w:r>
              <w:rPr>
                <w:rFonts w:hint="eastAsia" w:eastAsia="宋体" w:cs="Arial"/>
                <w:color w:val="000000" w:themeColor="text1"/>
                <w:vertAlign w:val="superscript"/>
                <w:lang w:val="en-US" w:eastAsia="zh-CN"/>
                <w14:textFill>
                  <w14:solidFill>
                    <w14:schemeClr w14:val="tx1"/>
                  </w14:solidFill>
                </w14:textFill>
              </w:rPr>
              <w:t>4</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p>
        </w:tc>
        <w:tc>
          <w:tcPr>
            <w:tcW w:w="703"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2687"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(NOTE 2)</w:t>
            </w:r>
          </w:p>
        </w:tc>
        <w:tc>
          <w:tcPr>
            <w:tcW w:w="3139" w:type="dxa"/>
            <w:tcBorders>
              <w:top w:val="single" w:color="000000" w:sz="6" w:space="0"/>
              <w:left w:val="single" w:color="000000" w:sz="6" w:space="0"/>
              <w:bottom w:val="single" w:color="000000" w:sz="6" w:space="0"/>
              <w:right w:val="single" w:color="000000" w:sz="6" w:space="0"/>
            </w:tcBorders>
            <w:vAlign w:val="center"/>
          </w:tcPr>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15</w:t>
            </w:r>
          </w:p>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to</w:t>
            </w:r>
          </w:p>
          <w:p>
            <w:pPr>
              <w:pStyle w:val="38"/>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DL_high </w:t>
            </w:r>
            <w:r>
              <w:rPr>
                <w:rFonts w:cs="Arial"/>
                <w:color w:val="000000" w:themeColor="text1"/>
                <w:lang w:eastAsia="zh-CN"/>
                <w14:textFill>
                  <w14:solidFill>
                    <w14:schemeClr w14:val="tx1"/>
                  </w14:solidFill>
                </w14:textFill>
              </w:rPr>
              <w:t>+ 15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687" w:type="dxa"/>
            <w:gridSpan w:val="5"/>
            <w:tcBorders>
              <w:top w:val="single" w:color="000000" w:sz="6" w:space="0"/>
              <w:left w:val="single" w:color="000000" w:sz="6" w:space="0"/>
              <w:bottom w:val="single" w:color="000000" w:sz="6" w:space="0"/>
              <w:right w:val="single" w:color="000000" w:sz="6" w:space="0"/>
            </w:tcBorders>
            <w:vAlign w:val="center"/>
          </w:tcPr>
          <w:p>
            <w:pPr>
              <w:pStyle w:val="50"/>
              <w:rPr>
                <w:rFonts w:eastAsia="MS Mincho" w:cs="Arial"/>
              </w:rPr>
            </w:pPr>
            <w:r>
              <w:rPr>
                <w:rFonts w:cs="Arial"/>
              </w:rPr>
              <w:t>NOTE 1:</w:t>
            </w:r>
            <w:r>
              <w:rPr>
                <w:rFonts w:hint="eastAsia" w:cs="Arial"/>
                <w:lang w:val="en-US" w:eastAsia="zh-CN"/>
              </w:rPr>
              <w:t xml:space="preserve"> </w:t>
            </w:r>
            <w:r>
              <w:rPr>
                <w:rFonts w:eastAsia="MS Mincho" w:cs="Arial"/>
              </w:rPr>
              <w:t>For certain bands, the unwanted modulated interfering signal may not fall inside the UE receive band, but within the first 15 MHz below or above the UE receive band</w:t>
            </w:r>
          </w:p>
          <w:p>
            <w:pPr>
              <w:pStyle w:val="50"/>
              <w:rPr>
                <w:rFonts w:eastAsia="MS Mincho" w:cs="Arial"/>
              </w:rPr>
            </w:pPr>
            <w:r>
              <w:rPr>
                <w:rFonts w:cs="Arial"/>
              </w:rPr>
              <w:t>NOTE 2:</w:t>
            </w:r>
            <w:r>
              <w:rPr>
                <w:rFonts w:hint="eastAsia" w:cs="Arial"/>
                <w:lang w:val="en-US" w:eastAsia="zh-CN"/>
              </w:rPr>
              <w:t xml:space="preserve"> </w:t>
            </w:r>
            <w:r>
              <w:rPr>
                <w:rFonts w:eastAsia="MS Mincho" w:cs="Arial"/>
              </w:rPr>
              <w:t>For each carrier frequency the requirement is valid for two frequencies:</w:t>
            </w:r>
          </w:p>
          <w:p>
            <w:pPr>
              <w:pStyle w:val="50"/>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50"/>
              <w:ind w:left="1987"/>
              <w:rPr>
                <w:rFonts w:eastAsia="MS Mincho" w:cs="Arial"/>
              </w:rPr>
            </w:pPr>
            <w:r>
              <w:rPr>
                <w:rFonts w:eastAsia="MS Mincho" w:cs="Arial"/>
              </w:rPr>
              <w:t>b. the carrier frequency +BW/2 + F</w:t>
            </w:r>
            <w:r>
              <w:rPr>
                <w:rFonts w:eastAsia="MS Mincho" w:cs="Arial"/>
                <w:vertAlign w:val="subscript"/>
              </w:rPr>
              <w:t>Ioffset, case 1</w:t>
            </w:r>
          </w:p>
          <w:p>
            <w:pPr>
              <w:pStyle w:val="38"/>
              <w:jc w:val="left"/>
              <w:rPr>
                <w:rFonts w:cs="Arial"/>
              </w:rPr>
            </w:pPr>
            <w:r>
              <w:rPr>
                <w:rFonts w:cs="Arial"/>
              </w:rPr>
              <w:t>NOTE 3:</w:t>
            </w:r>
            <w:r>
              <w:rPr>
                <w:rFonts w:hint="eastAsia" w:eastAsia="宋体" w:cs="Arial"/>
                <w:lang w:val="en-US" w:eastAsia="zh-CN"/>
              </w:rPr>
              <w:t xml:space="preserve"> </w:t>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w:t>
            </w:r>
          </w:p>
          <w:p>
            <w:pPr>
              <w:pStyle w:val="38"/>
              <w:jc w:val="left"/>
              <w:rPr>
                <w:rFonts w:hint="eastAsia" w:eastAsia="宋体" w:cs="Arial"/>
                <w:highlight w:val="yellow"/>
                <w:vertAlign w:val="baseline"/>
                <w:lang w:val="en-US" w:eastAsia="zh-CN"/>
              </w:rPr>
            </w:pPr>
            <w:r>
              <w:rPr>
                <w:rFonts w:hint="eastAsia" w:eastAsia="宋体" w:cs="Arial"/>
                <w:highlight w:val="yellow"/>
                <w:lang w:val="en-US" w:eastAsia="zh-CN"/>
              </w:rPr>
              <w:t>NOTE 4:</w:t>
            </w:r>
            <w:r>
              <w:rPr>
                <w:rFonts w:cs="Arial"/>
                <w:highlight w:val="yellow"/>
              </w:rPr>
              <w:t xml:space="preserve"> </w:t>
            </w:r>
            <w:r>
              <w:rPr>
                <w:rFonts w:hint="eastAsia" w:cs="Arial"/>
                <w:highlight w:val="yellow"/>
              </w:rPr>
              <w:t>UE may experience harmful interference from IMT bands in adjacent frequencies when operating in same geographical area and the specific impact will be introduced after ETSI finish the new WI associated with 3GPP NTN.</w:t>
            </w:r>
            <w:r>
              <w:rPr>
                <w:rFonts w:hint="eastAsia" w:eastAsia="宋体" w:cs="Arial"/>
                <w:highlight w:val="yellow"/>
                <w:lang w:val="en-US" w:eastAsia="zh-CN"/>
              </w:rPr>
              <w:t xml:space="preserve"> </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lang w:val="en-US" w:eastAsia="zh-CN"/>
        </w:rPr>
        <w:t xml:space="preserve">Considering the introduction of extended L-band is a Rel-18 WI and ETSI can not finish the new WI associated with 3GPP NTN before the deadline of Rel-18, we prefer Alt 2 which can finish the WI of extended L-band in Rel-18.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lang w:val="en-US" w:eastAsia="zh-CN"/>
        </w:rPr>
      </w:pPr>
      <w:r>
        <w:rPr>
          <w:rFonts w:hint="eastAsia"/>
          <w:b/>
          <w:bCs/>
          <w:i w:val="0"/>
          <w:iCs w:val="0"/>
          <w:lang w:val="en-US" w:eastAsia="zh-CN"/>
        </w:rPr>
        <w:t xml:space="preserve">Proposal 3: </w:t>
      </w:r>
      <w:r>
        <w:rPr>
          <w:rFonts w:hint="eastAsia"/>
          <w:b w:val="0"/>
          <w:bCs w:val="0"/>
          <w:i w:val="0"/>
          <w:iCs w:val="0"/>
          <w:lang w:val="en-US" w:eastAsia="zh-CN"/>
        </w:rPr>
        <w:t xml:space="preserve">For the extended L-band, </w:t>
      </w:r>
      <w:r>
        <w:rPr>
          <w:rFonts w:hint="eastAsia"/>
          <w:lang w:val="en-US" w:eastAsia="zh-CN"/>
        </w:rPr>
        <w:t>introduce a note declare that UE may experience harmful interference from IMT bands in adjacent frequencies when operating in same geographical area and the specific impact will be introduced after ETSI finish the new WI associated with 3GPP NTN.</w:t>
      </w:r>
    </w:p>
    <w:bookmarkEnd w:id="2"/>
    <w:bookmarkEnd w:id="3"/>
    <w:bookmarkEnd w:id="4"/>
    <w:bookmarkEnd w:id="5"/>
    <w:p>
      <w:pPr>
        <w:pStyle w:val="57"/>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w:t>
      </w:r>
      <w:r>
        <w:rPr>
          <w:rFonts w:hint="eastAsia"/>
          <w:lang w:val="en-US" w:eastAsia="zh-CN"/>
        </w:rPr>
        <w:t>Extended L-band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lang w:val="en-US" w:eastAsia="zh-CN"/>
        </w:rPr>
        <w:t>Observation 1:</w:t>
      </w:r>
      <w:r>
        <w:rPr>
          <w:rFonts w:hint="eastAsia"/>
          <w:lang w:val="en-US" w:eastAsia="zh-CN"/>
        </w:rPr>
        <w:t xml:space="preserve"> Introduction of flexible Tx-Rx frequency separation violates the previous agreement with a fixed Tx-Rx frequency separation of -150 MHz.</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lang w:val="en-US" w:eastAsia="zh-CN"/>
        </w:rPr>
      </w:pPr>
      <w:r>
        <w:rPr>
          <w:rFonts w:hint="eastAsia"/>
          <w:b/>
          <w:bCs/>
          <w:i w:val="0"/>
          <w:iCs w:val="0"/>
          <w:lang w:val="en-US" w:eastAsia="zh-CN"/>
        </w:rPr>
        <w:t>Proposal 1:</w:t>
      </w:r>
      <w:r>
        <w:rPr>
          <w:rFonts w:hint="eastAsia"/>
          <w:b w:val="0"/>
          <w:bCs w:val="0"/>
          <w:i w:val="0"/>
          <w:iCs w:val="0"/>
          <w:lang w:val="en-US" w:eastAsia="zh-CN"/>
        </w:rPr>
        <w:t xml:space="preserve"> For the Extended L-band, the flexible TX–RX frequency separation should not be supported.</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2: </w:t>
      </w:r>
      <w:r>
        <w:rPr>
          <w:rFonts w:hint="eastAsia"/>
          <w:b w:val="0"/>
          <w:bCs w:val="0"/>
          <w:i w:val="0"/>
          <w:iCs w:val="0"/>
          <w:lang w:val="en-US" w:eastAsia="zh-CN"/>
        </w:rPr>
        <w:t>For the extended L-band, t</w:t>
      </w:r>
      <w:r>
        <w:rPr>
          <w:rFonts w:hint="eastAsia"/>
          <w:lang w:val="en-US" w:eastAsia="zh-CN"/>
        </w:rPr>
        <w:t>he reference sensitivity level for eMTC NTN can be defined as Table 2.2-1 and Table 2.2-2 and the reference sensitivity level for NB-IoT can be defined as Table 2.2-3.</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3: </w:t>
      </w:r>
      <w:r>
        <w:rPr>
          <w:rFonts w:hint="eastAsia"/>
          <w:b w:val="0"/>
          <w:bCs w:val="0"/>
          <w:i w:val="0"/>
          <w:iCs w:val="0"/>
          <w:lang w:val="en-US" w:eastAsia="zh-CN"/>
        </w:rPr>
        <w:t xml:space="preserve">For the extended L-band, </w:t>
      </w:r>
      <w:r>
        <w:rPr>
          <w:rFonts w:hint="eastAsia"/>
          <w:lang w:val="en-US" w:eastAsia="zh-CN"/>
        </w:rPr>
        <w:t>introduce a note declare that UE may experience harmful interference from IMT bands in adjacent frequencies when operating in same geographical area and the specific impact will be introduced after ETSI finish the new WI associated with 3GPP NTN.</w:t>
      </w:r>
    </w:p>
    <w:p>
      <w:pPr>
        <w:pStyle w:val="57"/>
        <w:tabs>
          <w:tab w:val="left" w:pos="567"/>
          <w:tab w:val="clear" w:pos="1985"/>
        </w:tabs>
        <w:adjustRightInd w:val="0"/>
        <w:ind w:left="510" w:hanging="510"/>
        <w:rPr>
          <w:highlight w:val="none"/>
        </w:rPr>
      </w:pPr>
      <w:r>
        <w:rPr>
          <w:highlight w:val="none"/>
        </w:rPr>
        <w:t>References</w:t>
      </w:r>
    </w:p>
    <w:p>
      <w:pPr>
        <w:pStyle w:val="55"/>
        <w:numPr>
          <w:ilvl w:val="0"/>
          <w:numId w:val="7"/>
        </w:numPr>
      </w:pPr>
      <w:r>
        <w:rPr>
          <w:rFonts w:hint="eastAsia" w:ascii="Times New Roman" w:hAnsi="Times New Roman" w:eastAsia="宋体" w:cs="Times New Roman"/>
          <w:sz w:val="20"/>
          <w:szCs w:val="20"/>
          <w:highlight w:val="none"/>
          <w:lang w:val="en-US" w:eastAsia="zh-CN"/>
        </w:rPr>
        <w:t>RP-23079</w:t>
      </w:r>
      <w:r>
        <w:rPr>
          <w:rFonts w:hint="eastAsia" w:cs="Times New Roman"/>
          <w:sz w:val="20"/>
          <w:szCs w:val="20"/>
          <w:highlight w:val="none"/>
          <w:lang w:val="en-US" w:eastAsia="zh-CN"/>
        </w:rPr>
        <w:t xml:space="preserve">0,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on Introduction of the Extended L-band (UL 1668-1675, DL 1518-1525) for IoT NTN”, Inmarsat</w:t>
      </w:r>
    </w:p>
    <w:p>
      <w:pPr>
        <w:pStyle w:val="55"/>
        <w:numPr>
          <w:ilvl w:val="0"/>
          <w:numId w:val="7"/>
        </w:numPr>
      </w:pPr>
      <w:r>
        <w:rPr>
          <w:rFonts w:hint="eastAsia"/>
        </w:rPr>
        <w:t>R4-2317241</w:t>
      </w:r>
      <w:r>
        <w:rPr>
          <w:rFonts w:hint="eastAsia"/>
          <w:lang w:val="en-US" w:eastAsia="zh-CN"/>
        </w:rPr>
        <w:t xml:space="preserve">, </w:t>
      </w:r>
      <w:r>
        <w:rPr>
          <w:rFonts w:hint="default"/>
          <w:lang w:val="en-US" w:eastAsia="zh-CN"/>
        </w:rPr>
        <w:t>“Topic summary for [108-bis][117] IoT_NTN_extLband”</w:t>
      </w:r>
      <w:r>
        <w:rPr>
          <w:rFonts w:hint="eastAsia"/>
          <w:lang w:val="en-US" w:eastAsia="zh-CN"/>
        </w:rPr>
        <w:t>, Moderator (Inmarsat)</w:t>
      </w:r>
    </w:p>
    <w:p>
      <w:pPr>
        <w:pStyle w:val="55"/>
        <w:numPr>
          <w:ilvl w:val="0"/>
          <w:numId w:val="7"/>
        </w:numPr>
      </w:pPr>
      <w:r>
        <w:rPr>
          <w:rFonts w:hint="eastAsia"/>
          <w:lang w:val="en-US" w:eastAsia="zh-CN"/>
        </w:rPr>
        <w:t xml:space="preserve">3GPP TS36.102: </w:t>
      </w:r>
      <w:r>
        <w:rPr>
          <w:rFonts w:hint="default"/>
          <w:lang w:val="en-US" w:eastAsia="zh-CN"/>
        </w:rPr>
        <w:t>“User Equipment (UE) radio transmission and reception for satellite access”</w:t>
      </w:r>
    </w:p>
    <w:p>
      <w:pPr>
        <w:pStyle w:val="55"/>
        <w:numPr>
          <w:ilvl w:val="0"/>
          <w:numId w:val="7"/>
        </w:numPr>
      </w:pPr>
      <w:r>
        <w:rPr>
          <w:lang w:val="en-US" w:eastAsia="zh-CN"/>
        </w:rPr>
        <w:t xml:space="preserve">ECC Report 263, “Adjacent band compatibility studies between IMT operating in the frequency band 1492-1518 MHz and the MSS operating in the frequency band 1518-1552 MHz,” Approved 03 March 2017. </w:t>
      </w:r>
    </w:p>
    <w:p>
      <w:pPr>
        <w:pStyle w:val="55"/>
        <w:numPr>
          <w:ilvl w:val="0"/>
          <w:numId w:val="7"/>
        </w:numPr>
      </w:pPr>
      <w:r>
        <w:t>Draft ETSI EN 301 681</w:t>
      </w:r>
      <w:r>
        <w:rPr>
          <w:rFonts w:hint="eastAsia"/>
          <w:lang w:val="en-US" w:eastAsia="zh-CN"/>
        </w:rPr>
        <w:t xml:space="preserve"> </w:t>
      </w:r>
      <w:r>
        <w:t xml:space="preserve">V2.1.4 </w:t>
      </w:r>
      <w:r>
        <w:rPr>
          <w:rFonts w:hint="eastAsia"/>
          <w:lang w:val="en-US" w:eastAsia="zh-CN"/>
        </w:rPr>
        <w:t>,</w:t>
      </w:r>
      <w:r>
        <w:rPr>
          <w:lang w:val="en-US" w:eastAsia="zh-CN"/>
        </w:rPr>
        <w:t xml:space="preserve"> </w:t>
      </w:r>
      <w:r>
        <w:rPr>
          <w:rFonts w:hint="default"/>
          <w:lang w:val="en-US" w:eastAsia="zh-CN"/>
        </w:rPr>
        <w:t>“Satellite Earth Stations and Systems (SES); Harmonised Standard for Mobile Earth Stations (MES) of Geostationary mobile satellite systems”</w:t>
      </w:r>
      <w:r>
        <w:rPr>
          <w:rFonts w:hint="eastAsia"/>
          <w:lang w:val="en-US" w:eastAsia="zh-CN"/>
        </w:rPr>
        <w:t xml:space="preserve"> </w:t>
      </w:r>
      <w:r>
        <w:fldChar w:fldCharType="begin"/>
      </w:r>
      <w:r>
        <w:instrText xml:space="preserve">styleref ZA </w:instrText>
      </w:r>
      <w:r>
        <w:fldChar w:fldCharType="separate"/>
      </w:r>
      <w:r>
        <w:t>(2020-11)</w:t>
      </w:r>
      <w:r>
        <w:fldChar w:fldCharType="end"/>
      </w:r>
    </w:p>
    <w:p>
      <w:pPr>
        <w:pStyle w:val="55"/>
        <w:numPr>
          <w:ilvl w:val="0"/>
          <w:numId w:val="7"/>
        </w:numPr>
      </w:pPr>
      <w:r>
        <w:rPr>
          <w:rFonts w:hint="eastAsia"/>
        </w:rPr>
        <w:t>R4-2317932</w:t>
      </w:r>
      <w:r>
        <w:rPr>
          <w:rFonts w:hint="eastAsia"/>
          <w:lang w:val="en-US" w:eastAsia="zh-CN"/>
        </w:rPr>
        <w:t xml:space="preserve">, </w:t>
      </w:r>
      <w:r>
        <w:rPr>
          <w:rFonts w:hint="default"/>
          <w:lang w:val="en-US" w:eastAsia="zh-CN"/>
        </w:rPr>
        <w:t>“</w:t>
      </w:r>
      <w:r>
        <w:rPr>
          <w:rFonts w:hint="eastAsia"/>
        </w:rPr>
        <w:t>LS reply on 3GPP NTN requirements and potential impact on specification work in ETSI TC SES</w:t>
      </w:r>
      <w:r>
        <w:rPr>
          <w:rFonts w:hint="default"/>
          <w:lang w:val="en-US" w:eastAsia="zh-CN"/>
        </w:rPr>
        <w:t>”</w:t>
      </w:r>
      <w:r>
        <w:rPr>
          <w:rFonts w:hint="eastAsia"/>
          <w:lang w:val="en-US" w:eastAsia="zh-CN"/>
        </w:rPr>
        <w:t>, ETSI TC SES</w:t>
      </w: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FEB4A7C"/>
    <w:multiLevelType w:val="multilevel"/>
    <w:tmpl w:val="0FEB4A7C"/>
    <w:lvl w:ilvl="0" w:tentative="0">
      <w:start w:val="1"/>
      <w:numFmt w:val="bullet"/>
      <w:pStyle w:val="102"/>
      <w:lvlText w:val=""/>
      <w:lvlJc w:val="left"/>
      <w:pPr>
        <w:ind w:left="360" w:hanging="360"/>
      </w:pPr>
      <w:rPr>
        <w:rFonts w:hint="default" w:ascii="Wingdings" w:hAnsi="Wingdings"/>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ACA5D94"/>
    <w:multiLevelType w:val="multilevel"/>
    <w:tmpl w:val="1ACA5D94"/>
    <w:lvl w:ilvl="0" w:tentative="0">
      <w:start w:val="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65704A4"/>
    <w:multiLevelType w:val="multilevel"/>
    <w:tmpl w:val="565704A4"/>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360" w:hanging="360"/>
      </w:pPr>
      <w:rPr>
        <w:rFonts w:hint="default" w:ascii="Symbol" w:hAnsi="Symbo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5D54CEE7"/>
    <w:multiLevelType w:val="singleLevel"/>
    <w:tmpl w:val="5D54CEE7"/>
    <w:lvl w:ilvl="0" w:tentative="0">
      <w:start w:val="1"/>
      <w:numFmt w:val="bullet"/>
      <w:lvlText w:val=""/>
      <w:lvlJc w:val="left"/>
      <w:pPr>
        <w:ind w:left="420" w:hanging="420"/>
      </w:pPr>
      <w:rPr>
        <w:rFonts w:hint="default" w:ascii="Wingdings" w:hAnsi="Wingdings"/>
      </w:rPr>
    </w:lvl>
  </w:abstractNum>
  <w:num w:numId="1">
    <w:abstractNumId w:val="5"/>
  </w:num>
  <w:num w:numId="2">
    <w:abstractNumId w:val="1"/>
  </w:num>
  <w:num w:numId="3">
    <w:abstractNumId w:val="2"/>
  </w:num>
  <w:num w:numId="4">
    <w:abstractNumId w:val="4"/>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1F83"/>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05E20"/>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038EC"/>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9D7EE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360D26"/>
    <w:rsid w:val="094109B5"/>
    <w:rsid w:val="09444B9B"/>
    <w:rsid w:val="0953050B"/>
    <w:rsid w:val="09546457"/>
    <w:rsid w:val="0958129F"/>
    <w:rsid w:val="09582472"/>
    <w:rsid w:val="096308E4"/>
    <w:rsid w:val="09652822"/>
    <w:rsid w:val="096913F9"/>
    <w:rsid w:val="096B649C"/>
    <w:rsid w:val="096F18AA"/>
    <w:rsid w:val="096F1D52"/>
    <w:rsid w:val="09713F26"/>
    <w:rsid w:val="09791D3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73003"/>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7C6F8E"/>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75FC7"/>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ED5080"/>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67DD8"/>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0F4B98"/>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04170"/>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8421E"/>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64717"/>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9D17AF"/>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2E2107"/>
    <w:rsid w:val="2C3256C0"/>
    <w:rsid w:val="2C395B9E"/>
    <w:rsid w:val="2C3B4053"/>
    <w:rsid w:val="2C3D433E"/>
    <w:rsid w:val="2C416890"/>
    <w:rsid w:val="2C4725E8"/>
    <w:rsid w:val="2C4D767D"/>
    <w:rsid w:val="2C547DAE"/>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7B2532"/>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5F2394"/>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A96C80"/>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9C3444"/>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3F1A67"/>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AE178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B6F1A"/>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52991"/>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3507D"/>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517AE"/>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EF0662"/>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95C06"/>
    <w:rsid w:val="3D0B7E6F"/>
    <w:rsid w:val="3D0D32BA"/>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53B39"/>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B3C9A"/>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4392B"/>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624B7F"/>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225519"/>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35F37"/>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17769"/>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A1A0A"/>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4F42B58"/>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77463"/>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B41D3"/>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95735"/>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92076"/>
    <w:rsid w:val="5AFA61A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05664"/>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41F8A"/>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4F043B"/>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9259E2"/>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6EED"/>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3E543F"/>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65227"/>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507E8"/>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A4776"/>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04D45"/>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D41952"/>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A2205"/>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4F28A3"/>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32185"/>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74014"/>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34504"/>
    <w:rsid w:val="777B5F51"/>
    <w:rsid w:val="777D53E6"/>
    <w:rsid w:val="777E0553"/>
    <w:rsid w:val="777E1FE2"/>
    <w:rsid w:val="778067C2"/>
    <w:rsid w:val="77847A56"/>
    <w:rsid w:val="778F0D7D"/>
    <w:rsid w:val="778F49BD"/>
    <w:rsid w:val="77966F4C"/>
    <w:rsid w:val="779D7890"/>
    <w:rsid w:val="779E247B"/>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B0144"/>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after="160"/>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8"/>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footnote text"/>
    <w:basedOn w:val="1"/>
    <w:qFormat/>
    <w:uiPriority w:val="0"/>
    <w:pPr>
      <w:widowControl w:val="0"/>
      <w:tabs>
        <w:tab w:val="left" w:pos="284"/>
      </w:tabs>
      <w:spacing w:before="60" w:after="0"/>
      <w:ind w:left="284" w:hanging="284"/>
    </w:pPr>
    <w:rPr>
      <w:sz w:val="16"/>
      <w:szCs w:val="16"/>
      <w:lang w:val="en-US"/>
      <w14:cntxtalts/>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character" w:styleId="33">
    <w:name w:val="footnote reference"/>
    <w:basedOn w:val="27"/>
    <w:qFormat/>
    <w:uiPriority w:val="0"/>
    <w:rPr>
      <w:rFonts w:ascii="Arial" w:hAnsi="Arial"/>
      <w:sz w:val="20"/>
      <w:vertAlign w:val="superscript"/>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39"/>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Heading 8 Char"/>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Heading 9 Char"/>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Caption Char"/>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Heading 4 Char"/>
    <w:link w:val="5"/>
    <w:qFormat/>
    <w:uiPriority w:val="0"/>
    <w:rPr>
      <w:rFonts w:ascii="Arial" w:hAnsi="Arial" w:eastAsia="宋体"/>
      <w:sz w:val="24"/>
      <w:lang w:val="en-GB" w:eastAsia="en-US"/>
    </w:rPr>
  </w:style>
  <w:style w:type="character" w:customStyle="1" w:styleId="79">
    <w:name w:val="Balloon Text Char"/>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Header Char"/>
    <w:link w:val="18"/>
    <w:qFormat/>
    <w:uiPriority w:val="99"/>
    <w:rPr>
      <w:sz w:val="18"/>
      <w:szCs w:val="18"/>
    </w:rPr>
  </w:style>
  <w:style w:type="character" w:customStyle="1" w:styleId="82">
    <w:name w:val="Document Map Char"/>
    <w:link w:val="13"/>
    <w:semiHidden/>
    <w:qFormat/>
    <w:uiPriority w:val="99"/>
    <w:rPr>
      <w:rFonts w:ascii="宋体" w:eastAsia="宋体"/>
      <w:sz w:val="18"/>
      <w:szCs w:val="18"/>
    </w:rPr>
  </w:style>
  <w:style w:type="character" w:customStyle="1" w:styleId="83">
    <w:name w:val="Heading 7 Char"/>
    <w:link w:val="9"/>
    <w:qFormat/>
    <w:uiPriority w:val="0"/>
    <w:rPr>
      <w:rFonts w:ascii="Arial" w:hAnsi="Arial" w:eastAsia="宋体"/>
      <w:lang w:val="en-GB" w:eastAsia="en-US"/>
    </w:rPr>
  </w:style>
  <w:style w:type="character" w:customStyle="1" w:styleId="84">
    <w:name w:val="Heading 1 Char"/>
    <w:link w:val="2"/>
    <w:qFormat/>
    <w:uiPriority w:val="9"/>
    <w:rPr>
      <w:rFonts w:ascii="Cambria" w:hAnsi="Cambria" w:eastAsia="宋体" w:cs="Times New Roman"/>
      <w:b/>
      <w:bCs/>
      <w:kern w:val="32"/>
      <w:sz w:val="32"/>
      <w:szCs w:val="32"/>
      <w:lang w:val="en-US"/>
    </w:rPr>
  </w:style>
  <w:style w:type="character" w:customStyle="1" w:styleId="85">
    <w:name w:val="Footer Char"/>
    <w:link w:val="17"/>
    <w:qFormat/>
    <w:uiPriority w:val="99"/>
    <w:rPr>
      <w:sz w:val="18"/>
      <w:szCs w:val="18"/>
    </w:rPr>
  </w:style>
  <w:style w:type="character" w:customStyle="1" w:styleId="86">
    <w:name w:val="Comment Subject Char"/>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Heading 2 Char"/>
    <w:link w:val="3"/>
    <w:qFormat/>
    <w:uiPriority w:val="0"/>
    <w:rPr>
      <w:rFonts w:ascii="Arial" w:hAnsi="Arial"/>
      <w:sz w:val="32"/>
      <w:lang w:eastAsia="en-US"/>
    </w:rPr>
  </w:style>
  <w:style w:type="character" w:customStyle="1" w:styleId="89">
    <w:name w:val="Heading 5 Char"/>
    <w:link w:val="6"/>
    <w:qFormat/>
    <w:uiPriority w:val="0"/>
    <w:rPr>
      <w:rFonts w:ascii="Arial" w:hAnsi="Arial" w:eastAsia="宋体"/>
      <w:sz w:val="22"/>
      <w:lang w:val="en-GB" w:eastAsia="en-US"/>
    </w:rPr>
  </w:style>
  <w:style w:type="character" w:customStyle="1" w:styleId="90">
    <w:name w:val="Heading 3 Char"/>
    <w:link w:val="4"/>
    <w:qFormat/>
    <w:uiPriority w:val="0"/>
    <w:rPr>
      <w:rFonts w:ascii="Arial" w:hAnsi="Arial"/>
      <w:sz w:val="28"/>
      <w:lang w:eastAsia="en-US"/>
    </w:rPr>
  </w:style>
  <w:style w:type="character" w:customStyle="1" w:styleId="91">
    <w:name w:val="Comment Text Char"/>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character" w:customStyle="1" w:styleId="96">
    <w:name w:val="eop"/>
    <w:basedOn w:val="27"/>
    <w:qFormat/>
    <w:uiPriority w:val="0"/>
  </w:style>
  <w:style w:type="paragraph" w:customStyle="1" w:styleId="97">
    <w:name w:val="TAR"/>
    <w:basedOn w:val="39"/>
    <w:qFormat/>
    <w:uiPriority w:val="0"/>
    <w:pPr>
      <w:jc w:val="right"/>
    </w:pPr>
  </w:style>
  <w:style w:type="character" w:customStyle="1" w:styleId="98">
    <w:name w:val="ECC HL green"/>
    <w:basedOn w:val="27"/>
    <w:qFormat/>
    <w:uiPriority w:val="1"/>
    <w:rPr>
      <w:shd w:val="solid" w:color="92D050" w:fill="auto"/>
      <w:lang w:val="en-GB"/>
    </w:rPr>
  </w:style>
  <w:style w:type="character" w:customStyle="1" w:styleId="99">
    <w:name w:val="ECC HL yellow"/>
    <w:basedOn w:val="27"/>
    <w:qFormat/>
    <w:uiPriority w:val="1"/>
    <w:rPr>
      <w:rFonts w:eastAsia="Calibri"/>
      <w:szCs w:val="22"/>
      <w:shd w:val="solid" w:color="FFFF00" w:fill="auto"/>
      <w:lang w:val="en-GB"/>
    </w:rPr>
  </w:style>
  <w:style w:type="character" w:customStyle="1" w:styleId="100">
    <w:name w:val="ECC Paragraph"/>
    <w:basedOn w:val="27"/>
    <w:qFormat/>
    <w:uiPriority w:val="1"/>
    <w:rPr>
      <w:rFonts w:ascii="Arial" w:hAnsi="Arial"/>
      <w:sz w:val="20"/>
      <w:lang w:val="en-GB"/>
    </w:rPr>
  </w:style>
  <w:style w:type="paragraph" w:customStyle="1" w:styleId="101">
    <w:name w:val="ECC Bullets Lv2"/>
    <w:basedOn w:val="102"/>
    <w:qFormat/>
    <w:uiPriority w:val="0"/>
    <w:pPr>
      <w:tabs>
        <w:tab w:val="left" w:pos="340"/>
        <w:tab w:val="left" w:pos="680"/>
      </w:tabs>
      <w:ind w:left="680"/>
    </w:pPr>
  </w:style>
  <w:style w:type="paragraph" w:customStyle="1" w:styleId="102">
    <w:name w:val="ECC Bullets Lv1"/>
    <w:basedOn w:val="1"/>
    <w:qFormat/>
    <w:uiPriority w:val="0"/>
    <w:pPr>
      <w:numPr>
        <w:ilvl w:val="0"/>
        <w:numId w:val="2"/>
      </w:numPr>
      <w:tabs>
        <w:tab w:val="left" w:pos="340"/>
      </w:tabs>
      <w:spacing w:before="60" w:after="0"/>
      <w:ind w:left="340" w:hanging="340"/>
    </w:pPr>
  </w:style>
  <w:style w:type="paragraph" w:customStyle="1" w:styleId="103">
    <w:name w:val="Default"/>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szCs w:val="24"/>
    </w:rPr>
  </w:style>
  <w:style w:type="table" w:customStyle="1" w:styleId="104">
    <w:name w:val="ECC Table - red header"/>
    <w:basedOn w:val="105"/>
    <w:qFormat/>
    <w:uiPriority w:val="99"/>
    <w:tblP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table" w:customStyle="1" w:styleId="105">
    <w:name w:val="ECC Table - clean"/>
    <w:qFormat/>
    <w:uiPriority w:val="99"/>
    <w:pPr>
      <w:spacing w:before="60"/>
    </w:pPr>
    <w:rPr>
      <w:rFonts w:eastAsia="Calibri"/>
      <w:lang w:val="de-DE" w:eastAsia="de-DE"/>
    </w:rPr>
    <w:tblPr>
      <w:jc w:val="center"/>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left"/>
      </w:pPr>
      <w:rPr>
        <w:b/>
        <w:i w:val="0"/>
      </w:rPr>
      <w:tblPr/>
      <w:trPr>
        <w:tblHeader/>
      </w:tr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19</TotalTime>
  <ScaleCrop>false</ScaleCrop>
  <LinksUpToDate>false</LinksUpToDate>
  <CharactersWithSpaces>5088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2023-11-03T09:14:26Z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8557AB00CB7D4C6EBA781E40542BF000</vt:lpwstr>
  </property>
</Properties>
</file>